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992FF5" w14:textId="295B4C92"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jc w:val="center"/>
        <w:outlineLvl w:val="0"/>
        <w:rPr>
          <w:rFonts w:ascii="var(--primary-font)" w:eastAsia="Times New Roman" w:hAnsi="var(--primary-font)" w:cs="Arial"/>
          <w:b/>
          <w:bCs/>
          <w:color w:val="14054D"/>
          <w:kern w:val="36"/>
          <w:sz w:val="54"/>
          <w:szCs w:val="54"/>
          <w:lang w:eastAsia="en-ZA"/>
        </w:rPr>
      </w:pPr>
      <w:r w:rsidRPr="0087489D">
        <w:rPr>
          <w:rFonts w:ascii="var(--primary-font)" w:eastAsia="Times New Roman" w:hAnsi="var(--primary-font)" w:cs="Arial"/>
          <w:b/>
          <w:bCs/>
          <w:color w:val="14054D"/>
          <w:kern w:val="36"/>
          <w:sz w:val="54"/>
          <w:szCs w:val="54"/>
          <w:bdr w:val="single" w:sz="2" w:space="0" w:color="E5E7EB" w:frame="1"/>
          <w:lang w:eastAsia="en-ZA"/>
        </w:rPr>
        <w:t>Trade-Based Money Laundering Guidelines</w:t>
      </w:r>
    </w:p>
    <w:p w14:paraId="37D1B035" w14:textId="251F54AB" w:rsidR="0087489D" w:rsidRPr="0087489D" w:rsidRDefault="001A5B13" w:rsidP="0087489D">
      <w:pPr>
        <w:spacing w:after="0" w:line="240" w:lineRule="auto"/>
        <w:jc w:val="center"/>
        <w:rPr>
          <w:rFonts w:ascii="Arial" w:eastAsia="Times New Roman" w:hAnsi="Arial" w:cs="Arial"/>
          <w:color w:val="14054D"/>
          <w:sz w:val="27"/>
          <w:szCs w:val="27"/>
          <w:lang w:eastAsia="en-ZA"/>
        </w:rPr>
      </w:pPr>
      <w:r>
        <w:rPr>
          <w:rFonts w:ascii="var(--primary-font)" w:hAnsi="var(--primary-font)" w:cs="Arial"/>
          <w:noProof/>
          <w:color w:val="102D7B"/>
          <w:sz w:val="30"/>
          <w:szCs w:val="30"/>
          <w:bdr w:val="single" w:sz="2" w:space="0" w:color="E5E7EB" w:frame="1"/>
          <w:shd w:val="clear" w:color="auto" w:fill="FFFFFF"/>
        </w:rPr>
        <w:drawing>
          <wp:inline distT="0" distB="0" distL="0" distR="0" wp14:anchorId="3DFFDD84" wp14:editId="1BE1F00A">
            <wp:extent cx="1798320" cy="2545080"/>
            <wp:effectExtent l="0" t="0" r="0" b="7620"/>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98320" cy="2545080"/>
                    </a:xfrm>
                    <a:prstGeom prst="rect">
                      <a:avLst/>
                    </a:prstGeom>
                    <a:noFill/>
                    <a:ln>
                      <a:noFill/>
                    </a:ln>
                  </pic:spPr>
                </pic:pic>
              </a:graphicData>
            </a:graphic>
          </wp:inline>
        </w:drawing>
      </w:r>
    </w:p>
    <w:p w14:paraId="0261B1CE"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fraudsters behind </w:t>
      </w:r>
      <w:hyperlink r:id="rId6" w:history="1">
        <w:r w:rsidRPr="0087489D">
          <w:rPr>
            <w:rFonts w:ascii="var(--primary-font)" w:eastAsia="Times New Roman" w:hAnsi="var(--primary-font)" w:cs="Arial"/>
            <w:color w:val="0000FF"/>
            <w:sz w:val="30"/>
            <w:szCs w:val="30"/>
            <w:u w:val="single"/>
            <w:bdr w:val="single" w:sz="2" w:space="0" w:color="E5E7EB" w:frame="1"/>
            <w:lang w:eastAsia="en-ZA"/>
          </w:rPr>
          <w:t>trade-based money laundering</w:t>
        </w:r>
      </w:hyperlink>
      <w:r w:rsidRPr="0087489D">
        <w:rPr>
          <w:rFonts w:ascii="var(--primary-font)" w:eastAsia="Times New Roman" w:hAnsi="var(--primary-font)" w:cs="Arial"/>
          <w:color w:val="14054D"/>
          <w:sz w:val="30"/>
          <w:szCs w:val="30"/>
          <w:bdr w:val="single" w:sz="2" w:space="0" w:color="E5E7EB" w:frame="1"/>
          <w:lang w:eastAsia="en-ZA"/>
        </w:rPr>
        <w:t xml:space="preserve"> (TBML) are no fools. They use the complex webs of modern trade business, moving across geographies, and hiding behind trading systems to illegally transfer vast sums of money.  </w:t>
      </w:r>
      <w:r w:rsidRPr="0087489D">
        <w:rPr>
          <w:rFonts w:ascii="var(--primary-font)" w:eastAsia="Times New Roman" w:hAnsi="var(--primary-font)" w:cs="Arial"/>
          <w:b/>
          <w:bCs/>
          <w:color w:val="FF0000"/>
          <w:sz w:val="30"/>
          <w:szCs w:val="30"/>
          <w:bdr w:val="single" w:sz="2" w:space="0" w:color="E5E7EB" w:frame="1"/>
          <w:lang w:eastAsia="en-ZA"/>
        </w:rPr>
        <w:t>A new report from Egmont Group and the FATF, published in December 2020, reiterates the risk indicators in trade-based money laundering (TBML),</w:t>
      </w:r>
      <w:r w:rsidRPr="0087489D">
        <w:rPr>
          <w:rFonts w:ascii="var(--primary-font)" w:eastAsia="Times New Roman" w:hAnsi="var(--primary-font)" w:cs="Arial"/>
          <w:color w:val="FF0000"/>
          <w:sz w:val="30"/>
          <w:szCs w:val="30"/>
          <w:bdr w:val="single" w:sz="2" w:space="0" w:color="E5E7EB" w:frame="1"/>
          <w:lang w:eastAsia="en-ZA"/>
        </w:rPr>
        <w:t xml:space="preserve"> </w:t>
      </w:r>
      <w:r w:rsidRPr="0087489D">
        <w:rPr>
          <w:rFonts w:ascii="var(--primary-font)" w:eastAsia="Times New Roman" w:hAnsi="var(--primary-font)" w:cs="Arial"/>
          <w:b/>
          <w:bCs/>
          <w:color w:val="14054D"/>
          <w:sz w:val="30"/>
          <w:szCs w:val="30"/>
          <w:bdr w:val="single" w:sz="2" w:space="0" w:color="E5E7EB" w:frame="1"/>
          <w:lang w:eastAsia="en-ZA"/>
        </w:rPr>
        <w:t xml:space="preserve">offering some stark warnings around certain key aspects of this increasingly prevalent crime. </w:t>
      </w:r>
      <w:r w:rsidRPr="0087489D">
        <w:rPr>
          <w:rFonts w:ascii="var(--primary-font)" w:eastAsia="Times New Roman" w:hAnsi="var(--primary-font)" w:cs="Arial"/>
          <w:b/>
          <w:bCs/>
          <w:color w:val="FF0000"/>
          <w:sz w:val="30"/>
          <w:szCs w:val="30"/>
          <w:bdr w:val="single" w:sz="2" w:space="0" w:color="E5E7EB" w:frame="1"/>
          <w:lang w:eastAsia="en-ZA"/>
        </w:rPr>
        <w:t>Red flag indicators include:</w:t>
      </w:r>
    </w:p>
    <w:p w14:paraId="78EEE96D"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07DE048"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Unnecessarily complicated and complex supply chains. </w:t>
      </w:r>
    </w:p>
    <w:p w14:paraId="7811E0ED"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The rapid growth of newly formed companies into existing markets.</w:t>
      </w:r>
    </w:p>
    <w:p w14:paraId="60EEDBD5"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t>Established companies unexpectedly changing to an entirely unrelated sector.</w:t>
      </w:r>
    </w:p>
    <w:p w14:paraId="467469CC" w14:textId="77777777" w:rsidR="0087489D" w:rsidRPr="0087489D" w:rsidRDefault="0087489D" w:rsidP="0087489D">
      <w:pPr>
        <w:numPr>
          <w:ilvl w:val="0"/>
          <w:numId w:val="1"/>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color w:val="14054D"/>
          <w:sz w:val="30"/>
          <w:szCs w:val="30"/>
          <w:bdr w:val="single" w:sz="2" w:space="0" w:color="E5E7EB" w:frame="1"/>
          <w:lang w:eastAsia="en-ZA"/>
        </w:rPr>
        <w:lastRenderedPageBreak/>
        <w:t>Consistent and significant cash payments and unexplained third-party payments.</w:t>
      </w:r>
    </w:p>
    <w:p w14:paraId="7B0B94C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657255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xml:space="preserve">Keeping TBML under control is part regulation, part international cooperation, part smart technological solutions. Financial crime authorities must walk a fine line between keeping up with the TBML threat, ensuring that companies can ensure safe transactions, and meeting AML requirements. In this latest report, FATF and Egmont Group set out guidelines to help companies battle the scourge of TBML. As the president of FATF, </w:t>
      </w:r>
      <w:proofErr w:type="spellStart"/>
      <w:r w:rsidRPr="0087489D">
        <w:rPr>
          <w:rFonts w:ascii="var(--primary-font)" w:eastAsia="Times New Roman" w:hAnsi="var(--primary-font)" w:cs="Arial"/>
          <w:color w:val="14054D"/>
          <w:sz w:val="30"/>
          <w:szCs w:val="30"/>
          <w:bdr w:val="single" w:sz="2" w:space="0" w:color="E5E7EB" w:frame="1"/>
          <w:lang w:eastAsia="en-ZA"/>
        </w:rPr>
        <w:t>Dr.</w:t>
      </w:r>
      <w:proofErr w:type="spellEnd"/>
      <w:r w:rsidRPr="0087489D">
        <w:rPr>
          <w:rFonts w:ascii="var(--primary-font)" w:eastAsia="Times New Roman" w:hAnsi="var(--primary-font)" w:cs="Arial"/>
          <w:color w:val="14054D"/>
          <w:sz w:val="30"/>
          <w:szCs w:val="30"/>
          <w:bdr w:val="single" w:sz="2" w:space="0" w:color="E5E7EB" w:frame="1"/>
          <w:lang w:eastAsia="en-ZA"/>
        </w:rPr>
        <w:t xml:space="preserve"> Marcus Player puts it, “t</w:t>
      </w:r>
      <w:r w:rsidRPr="0087489D">
        <w:rPr>
          <w:rFonts w:ascii="var(--primary-font)" w:eastAsia="Times New Roman" w:hAnsi="var(--primary-font)" w:cs="Arial"/>
          <w:i/>
          <w:iCs/>
          <w:color w:val="14054D"/>
          <w:sz w:val="30"/>
          <w:szCs w:val="30"/>
          <w:bdr w:val="single" w:sz="2" w:space="0" w:color="E5E7EB" w:frame="1"/>
          <w:lang w:eastAsia="en-ZA"/>
        </w:rPr>
        <w:t>he overarching theme of this report is vigilance</w:t>
      </w:r>
      <w:r w:rsidRPr="0087489D">
        <w:rPr>
          <w:rFonts w:ascii="var(--primary-font)" w:eastAsia="Times New Roman" w:hAnsi="var(--primary-font)" w:cs="Arial"/>
          <w:color w:val="14054D"/>
          <w:sz w:val="30"/>
          <w:szCs w:val="30"/>
          <w:bdr w:val="single" w:sz="2" w:space="0" w:color="E5E7EB" w:frame="1"/>
          <w:lang w:eastAsia="en-ZA"/>
        </w:rPr>
        <w:t>”.</w:t>
      </w:r>
    </w:p>
    <w:p w14:paraId="5840DB2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 </w:t>
      </w:r>
    </w:p>
    <w:p w14:paraId="4B24C28F"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br/>
        <w:t>The red flags of TBML</w:t>
      </w:r>
    </w:p>
    <w:p w14:paraId="5C48BBC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FATF-Egmont research outlines a list of key red flags that can be used to identify trade-based money laundering operations. One of the problems with this is that there are a lot of these red flags. Much of the success of fraudsters is down to the use of complex trade routes to launder money and the use of this compacity to hide fraudulent events: money laundering fraud essentially hides in the plain sight of these complex trading ecosystems. This situation is compounded by the large amounts of documentation needed to trade; this then being exacerbated by trading processes that are cross-jurisdiction and that can hide activities behind shell companies. </w:t>
      </w:r>
    </w:p>
    <w:p w14:paraId="6D593E66"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A sample of the signals from the report used to indicate potential fraudulent or suspicious activity offer a glimpse of just how adaptive TBML activity is, and the lengths that fraudsters go to conceal fraud:</w:t>
      </w:r>
    </w:p>
    <w:p w14:paraId="13BBBF3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Structure</w:t>
      </w:r>
    </w:p>
    <w:p w14:paraId="24A3C467"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Messy structure</w:t>
      </w:r>
      <w:r w:rsidRPr="0087489D">
        <w:rPr>
          <w:rFonts w:ascii="Arial" w:eastAsia="Times New Roman" w:hAnsi="Arial" w:cs="Arial"/>
          <w:color w:val="14054D"/>
          <w:sz w:val="30"/>
          <w:szCs w:val="30"/>
          <w:bdr w:val="single" w:sz="2" w:space="0" w:color="E5E7EB" w:frame="1"/>
          <w:lang w:eastAsia="en-ZA"/>
        </w:rPr>
        <w:t>: Does the trading entity use numerous shell companies, perhaps set up in high-risk jurisdictions?</w:t>
      </w:r>
    </w:p>
    <w:p w14:paraId="39B25CF7"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Poor AML</w:t>
      </w:r>
      <w:r w:rsidRPr="0087489D">
        <w:rPr>
          <w:rFonts w:ascii="Arial" w:eastAsia="Times New Roman" w:hAnsi="Arial" w:cs="Arial"/>
          <w:color w:val="14054D"/>
          <w:sz w:val="30"/>
          <w:szCs w:val="30"/>
          <w:bdr w:val="single" w:sz="2" w:space="0" w:color="E5E7EB" w:frame="1"/>
          <w:lang w:eastAsia="en-ZA"/>
        </w:rPr>
        <w:t>: Is the trading entity based out of a jurisdiction with poor AML regulation?</w:t>
      </w:r>
    </w:p>
    <w:p w14:paraId="0AA53664"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Suspicious address</w:t>
      </w:r>
      <w:r w:rsidRPr="0087489D">
        <w:rPr>
          <w:rFonts w:ascii="Arial" w:eastAsia="Times New Roman" w:hAnsi="Arial" w:cs="Arial"/>
          <w:color w:val="14054D"/>
          <w:sz w:val="30"/>
          <w:szCs w:val="30"/>
          <w:bdr w:val="single" w:sz="2" w:space="0" w:color="E5E7EB" w:frame="1"/>
          <w:lang w:eastAsia="en-ZA"/>
        </w:rPr>
        <w:t xml:space="preserve">: Is the entity registered to a mass-mailing address or something similar? Does the type of trade the entity is registered to perform fit with the address, e.g., the address is </w:t>
      </w:r>
      <w:proofErr w:type="gramStart"/>
      <w:r w:rsidRPr="0087489D">
        <w:rPr>
          <w:rFonts w:ascii="Arial" w:eastAsia="Times New Roman" w:hAnsi="Arial" w:cs="Arial"/>
          <w:color w:val="14054D"/>
          <w:sz w:val="30"/>
          <w:szCs w:val="30"/>
          <w:bdr w:val="single" w:sz="2" w:space="0" w:color="E5E7EB" w:frame="1"/>
          <w:lang w:eastAsia="en-ZA"/>
        </w:rPr>
        <w:t>residential</w:t>
      </w:r>
      <w:proofErr w:type="gramEnd"/>
      <w:r w:rsidRPr="0087489D">
        <w:rPr>
          <w:rFonts w:ascii="Arial" w:eastAsia="Times New Roman" w:hAnsi="Arial" w:cs="Arial"/>
          <w:color w:val="14054D"/>
          <w:sz w:val="30"/>
          <w:szCs w:val="30"/>
          <w:bdr w:val="single" w:sz="2" w:space="0" w:color="E5E7EB" w:frame="1"/>
          <w:lang w:eastAsia="en-ZA"/>
        </w:rPr>
        <w:t xml:space="preserve"> but the trade type is industrial.</w:t>
      </w:r>
    </w:p>
    <w:p w14:paraId="7F2458D1" w14:textId="77777777" w:rsidR="0087489D" w:rsidRPr="0087489D" w:rsidRDefault="0087489D" w:rsidP="0087489D">
      <w:pPr>
        <w:numPr>
          <w:ilvl w:val="0"/>
          <w:numId w:val="2"/>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Suspicious web presence</w:t>
      </w:r>
      <w:r w:rsidRPr="0087489D">
        <w:rPr>
          <w:rFonts w:ascii="Arial" w:eastAsia="Times New Roman" w:hAnsi="Arial" w:cs="Arial"/>
          <w:color w:val="14054D"/>
          <w:sz w:val="30"/>
          <w:szCs w:val="30"/>
          <w:bdr w:val="single" w:sz="2" w:space="0" w:color="E5E7EB" w:frame="1"/>
          <w:lang w:eastAsia="en-ZA"/>
        </w:rPr>
        <w:t>: The trading entity has a boilerplate and under-represented website or a website that does to reflect its trade.</w:t>
      </w:r>
    </w:p>
    <w:p w14:paraId="3070368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Activity</w:t>
      </w:r>
    </w:p>
    <w:p w14:paraId="5BE7879E"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Out of sync business activity:</w:t>
      </w:r>
      <w:r w:rsidRPr="0087489D">
        <w:rPr>
          <w:rFonts w:ascii="Arial" w:eastAsia="Times New Roman" w:hAnsi="Arial" w:cs="Arial"/>
          <w:color w:val="14054D"/>
          <w:sz w:val="30"/>
          <w:szCs w:val="30"/>
          <w:bdr w:val="single" w:sz="2" w:space="0" w:color="E5E7EB" w:frame="1"/>
          <w:lang w:eastAsia="en-ZA"/>
        </w:rPr>
        <w:t xml:space="preserve"> Does the entity activity seem out of sync? For example, the tax or payroll seems to be at odds with the company’s representation of its trading </w:t>
      </w:r>
      <w:proofErr w:type="gramStart"/>
      <w:r w:rsidRPr="0087489D">
        <w:rPr>
          <w:rFonts w:ascii="Arial" w:eastAsia="Times New Roman" w:hAnsi="Arial" w:cs="Arial"/>
          <w:color w:val="14054D"/>
          <w:sz w:val="30"/>
          <w:szCs w:val="30"/>
          <w:bdr w:val="single" w:sz="2" w:space="0" w:color="E5E7EB" w:frame="1"/>
          <w:lang w:eastAsia="en-ZA"/>
        </w:rPr>
        <w:t>position?</w:t>
      </w:r>
      <w:proofErr w:type="gramEnd"/>
      <w:r w:rsidRPr="0087489D">
        <w:rPr>
          <w:rFonts w:ascii="Arial" w:eastAsia="Times New Roman" w:hAnsi="Arial" w:cs="Arial"/>
          <w:color w:val="14054D"/>
          <w:sz w:val="30"/>
          <w:szCs w:val="30"/>
          <w:bdr w:val="single" w:sz="2" w:space="0" w:color="E5E7EB" w:frame="1"/>
          <w:lang w:eastAsia="en-ZA"/>
        </w:rPr>
        <w:t> </w:t>
      </w:r>
    </w:p>
    <w:p w14:paraId="5C4A9E4D"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Management fit and beneficial owners</w:t>
      </w:r>
      <w:r w:rsidRPr="0087489D">
        <w:rPr>
          <w:rFonts w:ascii="Arial" w:eastAsia="Times New Roman" w:hAnsi="Arial" w:cs="Arial"/>
          <w:color w:val="14054D"/>
          <w:sz w:val="30"/>
          <w:szCs w:val="30"/>
          <w:bdr w:val="single" w:sz="2" w:space="0" w:color="E5E7EB" w:frame="1"/>
          <w:lang w:eastAsia="en-ZA"/>
        </w:rPr>
        <w:t>: Do the managers of the company seem to be a wrong fit? For example, inexperienced in that sector? Do they hold multiple company positions? If so, could they be hiding the real beneficial owners?</w:t>
      </w:r>
    </w:p>
    <w:p w14:paraId="35A7CB03"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Negative news:</w:t>
      </w:r>
      <w:r w:rsidRPr="0087489D">
        <w:rPr>
          <w:rFonts w:ascii="Arial" w:eastAsia="Times New Roman" w:hAnsi="Arial" w:cs="Arial"/>
          <w:color w:val="14054D"/>
          <w:sz w:val="30"/>
          <w:szCs w:val="30"/>
          <w:bdr w:val="single" w:sz="2" w:space="0" w:color="E5E7EB" w:frame="1"/>
          <w:lang w:eastAsia="en-ZA"/>
        </w:rPr>
        <w:t> Can you locate any negative news items on the managers of the company?</w:t>
      </w:r>
    </w:p>
    <w:p w14:paraId="0124002B"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Volume-staff ratio</w:t>
      </w:r>
      <w:r w:rsidRPr="0087489D">
        <w:rPr>
          <w:rFonts w:ascii="Arial" w:eastAsia="Times New Roman" w:hAnsi="Arial" w:cs="Arial"/>
          <w:color w:val="14054D"/>
          <w:sz w:val="30"/>
          <w:szCs w:val="30"/>
          <w:bdr w:val="single" w:sz="2" w:space="0" w:color="E5E7EB" w:frame="1"/>
          <w:lang w:eastAsia="en-ZA"/>
        </w:rPr>
        <w:t>: Is there a mismatch between the number of staff and the volumes of traded goods?</w:t>
      </w:r>
    </w:p>
    <w:p w14:paraId="5D272F6F"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Mismatch in goods traded</w:t>
      </w:r>
      <w:r w:rsidRPr="0087489D">
        <w:rPr>
          <w:rFonts w:ascii="Arial" w:eastAsia="Times New Roman" w:hAnsi="Arial" w:cs="Arial"/>
          <w:color w:val="14054D"/>
          <w:sz w:val="30"/>
          <w:szCs w:val="30"/>
          <w:bdr w:val="single" w:sz="2" w:space="0" w:color="E5E7EB" w:frame="1"/>
          <w:lang w:eastAsia="en-ZA"/>
        </w:rPr>
        <w:t>: Does the company trade goods that are at odds with its advertised business?</w:t>
      </w:r>
    </w:p>
    <w:p w14:paraId="4353AFE8"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Low profit margins: </w:t>
      </w:r>
      <w:r w:rsidRPr="0087489D">
        <w:rPr>
          <w:rFonts w:ascii="Arial" w:eastAsia="Times New Roman" w:hAnsi="Arial" w:cs="Arial"/>
          <w:color w:val="14054D"/>
          <w:sz w:val="30"/>
          <w:szCs w:val="30"/>
          <w:bdr w:val="single" w:sz="2" w:space="0" w:color="E5E7EB" w:frame="1"/>
          <w:lang w:eastAsia="en-ZA"/>
        </w:rPr>
        <w:t>Suspicious transactions involving wholesale commodities sold at or above retail value can be an indicator of a fraudulent event.</w:t>
      </w:r>
    </w:p>
    <w:p w14:paraId="7C9042E0" w14:textId="77777777" w:rsidR="0087489D" w:rsidRPr="0087489D" w:rsidRDefault="0087489D" w:rsidP="0087489D">
      <w:pPr>
        <w:numPr>
          <w:ilvl w:val="0"/>
          <w:numId w:val="3"/>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Asleep on the job</w:t>
      </w:r>
      <w:r w:rsidRPr="0087489D">
        <w:rPr>
          <w:rFonts w:ascii="Arial" w:eastAsia="Times New Roman" w:hAnsi="Arial" w:cs="Arial"/>
          <w:color w:val="14054D"/>
          <w:sz w:val="30"/>
          <w:szCs w:val="30"/>
          <w:bdr w:val="single" w:sz="2" w:space="0" w:color="E5E7EB" w:frame="1"/>
          <w:lang w:eastAsia="en-ZA"/>
        </w:rPr>
        <w:t>: Has the company had unusual periods of dormancy? </w:t>
      </w:r>
    </w:p>
    <w:p w14:paraId="45628549"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 </w:t>
      </w:r>
    </w:p>
    <w:p w14:paraId="6FA0096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t>Red Flags: Trading and relationships</w:t>
      </w:r>
    </w:p>
    <w:p w14:paraId="69948921"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Web of intermediaries</w:t>
      </w:r>
      <w:r w:rsidRPr="0087489D">
        <w:rPr>
          <w:rFonts w:ascii="Arial" w:eastAsia="Times New Roman" w:hAnsi="Arial" w:cs="Arial"/>
          <w:color w:val="14054D"/>
          <w:sz w:val="30"/>
          <w:szCs w:val="30"/>
          <w:bdr w:val="single" w:sz="2" w:space="0" w:color="E5E7EB" w:frame="1"/>
          <w:lang w:eastAsia="en-ZA"/>
        </w:rPr>
        <w:t>: Does the company trade using multiple third parties that seem unrelated to the business?</w:t>
      </w:r>
    </w:p>
    <w:p w14:paraId="025DAE81"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Strange routes:</w:t>
      </w:r>
      <w:r w:rsidRPr="0087489D">
        <w:rPr>
          <w:rFonts w:ascii="Arial" w:eastAsia="Times New Roman" w:hAnsi="Arial" w:cs="Arial"/>
          <w:color w:val="14054D"/>
          <w:sz w:val="30"/>
          <w:szCs w:val="30"/>
          <w:bdr w:val="single" w:sz="2" w:space="0" w:color="E5E7EB" w:frame="1"/>
          <w:lang w:eastAsia="en-ZA"/>
        </w:rPr>
        <w:t> Have unusual shipping routes and patterns of trade been noticed?</w:t>
      </w:r>
    </w:p>
    <w:p w14:paraId="5EFC3379"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Complex finance:</w:t>
      </w:r>
      <w:r w:rsidRPr="0087489D">
        <w:rPr>
          <w:rFonts w:ascii="Arial" w:eastAsia="Times New Roman" w:hAnsi="Arial" w:cs="Arial"/>
          <w:color w:val="14054D"/>
          <w:sz w:val="30"/>
          <w:szCs w:val="30"/>
          <w:bdr w:val="single" w:sz="2" w:space="0" w:color="E5E7EB" w:frame="1"/>
          <w:lang w:eastAsia="en-ZA"/>
        </w:rPr>
        <w:t> Complexity can be a signal that fraud is already, or could, take place. For example, the overuse of complex financial products.</w:t>
      </w:r>
    </w:p>
    <w:p w14:paraId="0C4F9409" w14:textId="77777777" w:rsidR="0087489D" w:rsidRPr="0087489D" w:rsidRDefault="0087489D" w:rsidP="0087489D">
      <w:pPr>
        <w:numPr>
          <w:ilvl w:val="0"/>
          <w:numId w:val="4"/>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New company, strange activity:</w:t>
      </w:r>
      <w:r w:rsidRPr="0087489D">
        <w:rPr>
          <w:rFonts w:ascii="Arial" w:eastAsia="Times New Roman" w:hAnsi="Arial" w:cs="Arial"/>
          <w:color w:val="14054D"/>
          <w:sz w:val="30"/>
          <w:szCs w:val="30"/>
          <w:bdr w:val="single" w:sz="2" w:space="0" w:color="E5E7EB" w:frame="1"/>
          <w:lang w:eastAsia="en-ZA"/>
        </w:rPr>
        <w:t> If the company is new but is suddenly trading high volumes of high value, this could be an indicator of fraud.</w:t>
      </w:r>
    </w:p>
    <w:p w14:paraId="63EED70A"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 </w:t>
      </w:r>
    </w:p>
    <w:p w14:paraId="5CBC7632"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t>Red Flags: Documentation</w:t>
      </w:r>
    </w:p>
    <w:p w14:paraId="450F34A8" w14:textId="77777777" w:rsidR="0087489D" w:rsidRPr="0087489D" w:rsidRDefault="0087489D" w:rsidP="0087489D">
      <w:pPr>
        <w:numPr>
          <w:ilvl w:val="0"/>
          <w:numId w:val="5"/>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Document red flags:</w:t>
      </w:r>
      <w:r w:rsidRPr="0087489D">
        <w:rPr>
          <w:rFonts w:ascii="Arial" w:eastAsia="Times New Roman" w:hAnsi="Arial" w:cs="Arial"/>
          <w:color w:val="14054D"/>
          <w:sz w:val="30"/>
          <w:szCs w:val="30"/>
          <w:bdr w:val="single" w:sz="2" w:space="0" w:color="E5E7EB" w:frame="1"/>
          <w:lang w:eastAsia="en-ZA"/>
        </w:rPr>
        <w:t> Missing or vaguely written documents such as contracts and invoices.</w:t>
      </w:r>
    </w:p>
    <w:p w14:paraId="7363D85C" w14:textId="77777777" w:rsidR="0087489D" w:rsidRPr="0087489D" w:rsidRDefault="0087489D" w:rsidP="0087489D">
      <w:pPr>
        <w:numPr>
          <w:ilvl w:val="0"/>
          <w:numId w:val="5"/>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Inconsistent amounts</w:t>
      </w:r>
      <w:r w:rsidRPr="0087489D">
        <w:rPr>
          <w:rFonts w:ascii="Arial" w:eastAsia="Times New Roman" w:hAnsi="Arial" w:cs="Arial"/>
          <w:color w:val="14054D"/>
          <w:sz w:val="30"/>
          <w:szCs w:val="30"/>
          <w:bdr w:val="single" w:sz="2" w:space="0" w:color="E5E7EB" w:frame="1"/>
          <w:lang w:eastAsia="en-ZA"/>
        </w:rPr>
        <w:t>: Documents display fees or amounts that seem incongruous with the expected amounts.</w:t>
      </w:r>
    </w:p>
    <w:p w14:paraId="58703EA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720" w:lineRule="atLeast"/>
        <w:outlineLvl w:val="2"/>
        <w:rPr>
          <w:rFonts w:ascii="var(--primary-font)" w:eastAsia="Times New Roman" w:hAnsi="var(--primary-font)" w:cs="Arial"/>
          <w:b/>
          <w:bCs/>
          <w:color w:val="14054D"/>
          <w:sz w:val="30"/>
          <w:szCs w:val="30"/>
          <w:bdr w:val="single" w:sz="2" w:space="0" w:color="E5E7EB" w:frame="1"/>
          <w:lang w:eastAsia="en-ZA"/>
        </w:rPr>
      </w:pPr>
      <w:r w:rsidRPr="0087489D">
        <w:rPr>
          <w:rFonts w:ascii="var(--primary-font)" w:eastAsia="Times New Roman" w:hAnsi="var(--primary-font)" w:cs="Arial"/>
          <w:b/>
          <w:bCs/>
          <w:color w:val="434343"/>
          <w:sz w:val="30"/>
          <w:szCs w:val="30"/>
          <w:bdr w:val="single" w:sz="2" w:space="0" w:color="E5E7EB" w:frame="1"/>
          <w:lang w:eastAsia="en-ZA"/>
        </w:rPr>
        <w:br/>
        <w:t>Red Flags: Transactions</w:t>
      </w:r>
    </w:p>
    <w:p w14:paraId="651F6E0B"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Pay-through</w:t>
      </w:r>
      <w:r w:rsidRPr="0087489D">
        <w:rPr>
          <w:rFonts w:ascii="Arial" w:eastAsia="Times New Roman" w:hAnsi="Arial" w:cs="Arial"/>
          <w:color w:val="14054D"/>
          <w:sz w:val="30"/>
          <w:szCs w:val="30"/>
          <w:bdr w:val="single" w:sz="2" w:space="0" w:color="E5E7EB" w:frame="1"/>
          <w:lang w:eastAsia="en-ZA"/>
        </w:rPr>
        <w:t>: Unusual payment activity points to “pay-through” or “transit” accounts.</w:t>
      </w:r>
    </w:p>
    <w:p w14:paraId="01CD87BF"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Threshold limits</w:t>
      </w:r>
      <w:r w:rsidRPr="0087489D">
        <w:rPr>
          <w:rFonts w:ascii="Arial" w:eastAsia="Times New Roman" w:hAnsi="Arial" w:cs="Arial"/>
          <w:color w:val="14054D"/>
          <w:sz w:val="30"/>
          <w:szCs w:val="30"/>
          <w:bdr w:val="single" w:sz="2" w:space="0" w:color="E5E7EB" w:frame="1"/>
          <w:lang w:eastAsia="en-ZA"/>
        </w:rPr>
        <w:t>: Cash deposits are always just below the reporting thresholds.</w:t>
      </w:r>
    </w:p>
    <w:p w14:paraId="44DD6581" w14:textId="77777777" w:rsidR="0087489D" w:rsidRPr="0087489D" w:rsidRDefault="0087489D" w:rsidP="0087489D">
      <w:pPr>
        <w:numPr>
          <w:ilvl w:val="0"/>
          <w:numId w:val="6"/>
        </w:numPr>
        <w:pBdr>
          <w:top w:val="single" w:sz="2" w:space="0" w:color="E5E7EB"/>
          <w:left w:val="single" w:sz="2" w:space="19" w:color="E5E7EB"/>
          <w:bottom w:val="single" w:sz="2" w:space="0" w:color="E5E7EB"/>
          <w:right w:val="single" w:sz="2" w:space="0" w:color="E5E7EB"/>
        </w:pBdr>
        <w:spacing w:before="100" w:beforeAutospacing="1" w:after="100" w:afterAutospacing="1" w:line="480" w:lineRule="atLeast"/>
        <w:rPr>
          <w:rFonts w:ascii="Arial" w:eastAsia="Times New Roman" w:hAnsi="Arial" w:cs="Arial"/>
          <w:color w:val="14054D"/>
          <w:sz w:val="30"/>
          <w:szCs w:val="30"/>
          <w:bdr w:val="single" w:sz="2" w:space="0" w:color="E5E7EB" w:frame="1"/>
          <w:lang w:eastAsia="en-ZA"/>
        </w:rPr>
      </w:pPr>
      <w:r w:rsidRPr="0087489D">
        <w:rPr>
          <w:rFonts w:ascii="Arial" w:eastAsia="Times New Roman" w:hAnsi="Arial" w:cs="Arial"/>
          <w:b/>
          <w:bCs/>
          <w:color w:val="14054D"/>
          <w:sz w:val="30"/>
          <w:szCs w:val="30"/>
          <w:bdr w:val="single" w:sz="2" w:space="0" w:color="E5E7EB" w:frame="1"/>
          <w:lang w:eastAsia="en-ZA"/>
        </w:rPr>
        <w:t>Round-robin routing</w:t>
      </w:r>
      <w:r w:rsidRPr="0087489D">
        <w:rPr>
          <w:rFonts w:ascii="Arial" w:eastAsia="Times New Roman" w:hAnsi="Arial" w:cs="Arial"/>
          <w:color w:val="14054D"/>
          <w:sz w:val="30"/>
          <w:szCs w:val="30"/>
          <w:bdr w:val="single" w:sz="2" w:space="0" w:color="E5E7EB" w:frame="1"/>
          <w:lang w:eastAsia="en-ZA"/>
        </w:rPr>
        <w:t>: Payments are sent from one country, received back in the same country, but routed through several other countries.</w:t>
      </w:r>
    </w:p>
    <w:p w14:paraId="7C8BEBC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02C30A66" w14:textId="77777777" w:rsid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b/>
          <w:bCs/>
          <w:color w:val="14054D"/>
          <w:sz w:val="30"/>
          <w:szCs w:val="30"/>
          <w:bdr w:val="single" w:sz="2" w:space="0" w:color="E5E7EB" w:frame="1"/>
          <w:lang w:eastAsia="en-ZA"/>
        </w:rPr>
        <w:t>There are several other concerns and signals of </w:t>
      </w:r>
      <w:hyperlink r:id="rId7" w:history="1">
        <w:r w:rsidRPr="0087489D">
          <w:rPr>
            <w:rFonts w:ascii="var(--primary-font)" w:eastAsia="Times New Roman" w:hAnsi="var(--primary-font)" w:cs="Arial"/>
            <w:b/>
            <w:bCs/>
            <w:color w:val="0000FF"/>
            <w:sz w:val="30"/>
            <w:szCs w:val="30"/>
            <w:u w:val="single"/>
            <w:bdr w:val="single" w:sz="2" w:space="0" w:color="E5E7EB" w:frame="1"/>
            <w:lang w:eastAsia="en-ZA"/>
          </w:rPr>
          <w:t>fraud listed in the FATF report</w:t>
        </w:r>
      </w:hyperlink>
      <w:r w:rsidRPr="0087489D">
        <w:rPr>
          <w:rFonts w:ascii="var(--primary-font)" w:eastAsia="Times New Roman" w:hAnsi="var(--primary-font)" w:cs="Arial"/>
          <w:b/>
          <w:bCs/>
          <w:color w:val="14054D"/>
          <w:sz w:val="30"/>
          <w:szCs w:val="30"/>
          <w:bdr w:val="single" w:sz="2" w:space="0" w:color="E5E7EB" w:frame="1"/>
          <w:lang w:eastAsia="en-ZA"/>
        </w:rPr>
        <w:t>. The above red flags, as individual signals, may not, in many cases be a sign of fraud; however, they do ring warning bells.</w:t>
      </w:r>
      <w:r w:rsidRPr="0087489D">
        <w:rPr>
          <w:rFonts w:ascii="var(--primary-font)" w:eastAsia="Times New Roman" w:hAnsi="var(--primary-font)" w:cs="Arial"/>
          <w:color w:val="14054D"/>
          <w:sz w:val="30"/>
          <w:szCs w:val="30"/>
          <w:bdr w:val="single" w:sz="2" w:space="0" w:color="E5E7EB" w:frame="1"/>
          <w:lang w:eastAsia="en-ZA"/>
        </w:rPr>
        <w:t xml:space="preserve"> </w:t>
      </w:r>
    </w:p>
    <w:p w14:paraId="1EE0B03F" w14:textId="5F16A4F4"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b/>
          <w:bCs/>
          <w:color w:val="FF0000"/>
          <w:sz w:val="30"/>
          <w:szCs w:val="30"/>
          <w:bdr w:val="single" w:sz="2" w:space="0" w:color="E5E7EB" w:frame="1"/>
          <w:lang w:eastAsia="en-ZA"/>
        </w:rPr>
        <w:t>Importantly, this is the second time in recent months that the authorities have referred to the use of documentary financial instruments in TBML fraud</w:t>
      </w:r>
      <w:r w:rsidRPr="0087489D">
        <w:rPr>
          <w:rFonts w:ascii="var(--primary-font)" w:eastAsia="Times New Roman" w:hAnsi="var(--primary-font)" w:cs="Arial"/>
          <w:color w:val="14054D"/>
          <w:sz w:val="30"/>
          <w:szCs w:val="30"/>
          <w:bdr w:val="single" w:sz="2" w:space="0" w:color="E5E7EB" w:frame="1"/>
          <w:lang w:eastAsia="en-ZA"/>
        </w:rPr>
        <w:t xml:space="preserve">. One of the issues previously highlighted was the use of ‘open account </w:t>
      </w:r>
      <w:proofErr w:type="gramStart"/>
      <w:r w:rsidRPr="0087489D">
        <w:rPr>
          <w:rFonts w:ascii="var(--primary-font)" w:eastAsia="Times New Roman" w:hAnsi="var(--primary-font)" w:cs="Arial"/>
          <w:color w:val="14054D"/>
          <w:sz w:val="30"/>
          <w:szCs w:val="30"/>
          <w:bdr w:val="single" w:sz="2" w:space="0" w:color="E5E7EB" w:frame="1"/>
          <w:lang w:eastAsia="en-ZA"/>
        </w:rPr>
        <w:t>transactions’</w:t>
      </w:r>
      <w:proofErr w:type="gramEnd"/>
      <w:r w:rsidRPr="0087489D">
        <w:rPr>
          <w:rFonts w:ascii="var(--primary-font)" w:eastAsia="Times New Roman" w:hAnsi="var(--primary-font)" w:cs="Arial"/>
          <w:color w:val="14054D"/>
          <w:sz w:val="30"/>
          <w:szCs w:val="30"/>
          <w:bdr w:val="single" w:sz="2" w:space="0" w:color="E5E7EB" w:frame="1"/>
          <w:lang w:eastAsia="en-ZA"/>
        </w:rPr>
        <w:t xml:space="preserve">. </w:t>
      </w:r>
      <w:r w:rsidRPr="0087489D">
        <w:rPr>
          <w:rFonts w:ascii="var(--primary-font)" w:eastAsia="Times New Roman" w:hAnsi="var(--primary-font)" w:cs="Arial"/>
          <w:b/>
          <w:bCs/>
          <w:color w:val="14054D"/>
          <w:sz w:val="30"/>
          <w:szCs w:val="30"/>
          <w:bdr w:val="single" w:sz="2" w:space="0" w:color="E5E7EB" w:frame="1"/>
          <w:lang w:eastAsia="en-ZA"/>
        </w:rPr>
        <w:t>Open account transactions are currently used in around 80% of international trade and are ideal for </w:t>
      </w:r>
      <w:hyperlink r:id="rId8" w:history="1">
        <w:r w:rsidRPr="0087489D">
          <w:rPr>
            <w:rFonts w:ascii="var(--primary-font)" w:eastAsia="Times New Roman" w:hAnsi="var(--primary-font)" w:cs="Arial"/>
            <w:b/>
            <w:bCs/>
            <w:color w:val="0000FF"/>
            <w:sz w:val="30"/>
            <w:szCs w:val="30"/>
            <w:u w:val="single"/>
            <w:bdr w:val="single" w:sz="2" w:space="0" w:color="E5E7EB" w:frame="1"/>
            <w:lang w:eastAsia="en-ZA"/>
          </w:rPr>
          <w:t>TBML fraud</w:t>
        </w:r>
      </w:hyperlink>
      <w:r w:rsidRPr="0087489D">
        <w:rPr>
          <w:rFonts w:ascii="var(--primary-font)" w:eastAsia="Times New Roman" w:hAnsi="var(--primary-font)" w:cs="Arial"/>
          <w:b/>
          <w:bCs/>
          <w:color w:val="14054D"/>
          <w:sz w:val="30"/>
          <w:szCs w:val="30"/>
          <w:bdr w:val="single" w:sz="2" w:space="0" w:color="E5E7EB" w:frame="1"/>
          <w:lang w:eastAsia="en-ZA"/>
        </w:rPr>
        <w:t> because of a lack of visibility.</w:t>
      </w:r>
      <w:r w:rsidRPr="0087489D">
        <w:rPr>
          <w:rFonts w:ascii="var(--primary-font)" w:eastAsia="Times New Roman" w:hAnsi="var(--primary-font)" w:cs="Arial"/>
          <w:color w:val="14054D"/>
          <w:sz w:val="30"/>
          <w:szCs w:val="30"/>
          <w:bdr w:val="single" w:sz="2" w:space="0" w:color="E5E7EB" w:frame="1"/>
          <w:lang w:eastAsia="en-ZA"/>
        </w:rPr>
        <w:t xml:space="preserve"> </w:t>
      </w:r>
      <w:r w:rsidRPr="0087489D">
        <w:rPr>
          <w:rFonts w:ascii="var(--primary-font)" w:eastAsia="Times New Roman" w:hAnsi="var(--primary-font)" w:cs="Arial"/>
          <w:color w:val="14054D"/>
          <w:sz w:val="30"/>
          <w:szCs w:val="30"/>
          <w:highlight w:val="yellow"/>
          <w:bdr w:val="single" w:sz="2" w:space="0" w:color="E5E7EB" w:frame="1"/>
          <w:lang w:eastAsia="en-ZA"/>
        </w:rPr>
        <w:t>The FATF highlights in this latest set of guidelines the use of complex documentation processes, such as “pay-through” accounts, or “circular routed documents”.</w:t>
      </w:r>
      <w:r w:rsidRPr="0087489D">
        <w:rPr>
          <w:rFonts w:ascii="var(--primary-font)" w:eastAsia="Times New Roman" w:hAnsi="var(--primary-font)" w:cs="Arial"/>
          <w:color w:val="14054D"/>
          <w:sz w:val="30"/>
          <w:szCs w:val="30"/>
          <w:bdr w:val="single" w:sz="2" w:space="0" w:color="E5E7EB" w:frame="1"/>
          <w:lang w:eastAsia="en-ZA"/>
        </w:rPr>
        <w:t xml:space="preserve"> Obfuscation using complex accounting mechanisms is like the sleight of hand used by the con artists of old. Being able to effectively monitor trade activity is an essential part of fraud detection. But where there is a lack of transparency that is compounded by complex ecosystems of transactions and movement of goods, monitoring and detection require a more specialized approach.</w:t>
      </w:r>
      <w:r w:rsidRPr="0087489D">
        <w:rPr>
          <w:rFonts w:ascii="var(--primary-font)" w:eastAsia="Times New Roman" w:hAnsi="var(--primary-font)" w:cs="Arial"/>
          <w:color w:val="14054D"/>
          <w:sz w:val="30"/>
          <w:szCs w:val="30"/>
          <w:bdr w:val="single" w:sz="2" w:space="0" w:color="E5E7EB" w:frame="1"/>
          <w:lang w:eastAsia="en-ZA"/>
        </w:rPr>
        <w:br/>
      </w:r>
    </w:p>
    <w:p w14:paraId="2CD6260C"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2E7E66F0"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Recommendations in managing the threat of TBML</w:t>
      </w:r>
    </w:p>
    <w:p w14:paraId="423FD117"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guidelines issued by the FATF and Egmont Group demonstrate that TBML fraudsters use complexity as a mechanism to propagate money laundering. The resultant mixed red flag signals make the detection of TBML fraud difficult. The report recommends that banks involved in international trade checks use robust methods to identify potential red flags. The FATF report stresses that the ways to tackle TBML fraud are three-fold: </w:t>
      </w:r>
    </w:p>
    <w:p w14:paraId="25453945"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6BB2E4B4"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i/>
          <w:iCs/>
          <w:color w:val="14054D"/>
          <w:sz w:val="30"/>
          <w:szCs w:val="30"/>
          <w:bdr w:val="single" w:sz="2" w:space="0" w:color="E5E7EB" w:frame="1"/>
          <w:lang w:eastAsia="en-ZA"/>
        </w:rPr>
        <w:t>“(Detection of TBML)...includes the </w:t>
      </w:r>
      <w:r w:rsidRPr="0087489D">
        <w:rPr>
          <w:rFonts w:ascii="var(--primary-font)" w:eastAsia="Times New Roman" w:hAnsi="var(--primary-font)" w:cs="Arial"/>
          <w:b/>
          <w:bCs/>
          <w:i/>
          <w:iCs/>
          <w:color w:val="14054D"/>
          <w:sz w:val="30"/>
          <w:szCs w:val="30"/>
          <w:bdr w:val="single" w:sz="2" w:space="0" w:color="E5E7EB" w:frame="1"/>
          <w:lang w:eastAsia="en-ZA"/>
        </w:rPr>
        <w:t>use of better and closer public-private sector partnerships</w:t>
      </w:r>
      <w:r w:rsidRPr="0087489D">
        <w:rPr>
          <w:rFonts w:ascii="var(--primary-font)" w:eastAsia="Times New Roman" w:hAnsi="var(--primary-font)" w:cs="Arial"/>
          <w:i/>
          <w:iCs/>
          <w:color w:val="14054D"/>
          <w:sz w:val="30"/>
          <w:szCs w:val="30"/>
          <w:bdr w:val="single" w:sz="2" w:space="0" w:color="E5E7EB" w:frame="1"/>
          <w:lang w:eastAsia="en-ZA"/>
        </w:rPr>
        <w:t>; </w:t>
      </w:r>
      <w:r w:rsidRPr="0087489D">
        <w:rPr>
          <w:rFonts w:ascii="var(--primary-font)" w:eastAsia="Times New Roman" w:hAnsi="var(--primary-font)" w:cs="Arial"/>
          <w:b/>
          <w:bCs/>
          <w:i/>
          <w:iCs/>
          <w:color w:val="14054D"/>
          <w:sz w:val="30"/>
          <w:szCs w:val="30"/>
          <w:bdr w:val="single" w:sz="2" w:space="0" w:color="E5E7EB" w:frame="1"/>
          <w:lang w:eastAsia="en-ZA"/>
        </w:rPr>
        <w:t>detailed money laundering risk assessments</w:t>
      </w:r>
      <w:r w:rsidRPr="0087489D">
        <w:rPr>
          <w:rFonts w:ascii="var(--primary-font)" w:eastAsia="Times New Roman" w:hAnsi="var(--primary-font)" w:cs="Arial"/>
          <w:i/>
          <w:iCs/>
          <w:color w:val="14054D"/>
          <w:sz w:val="30"/>
          <w:szCs w:val="30"/>
          <w:bdr w:val="single" w:sz="2" w:space="0" w:color="E5E7EB" w:frame="1"/>
          <w:lang w:eastAsia="en-ZA"/>
        </w:rPr>
        <w:t>; and the </w:t>
      </w:r>
      <w:r w:rsidRPr="0087489D">
        <w:rPr>
          <w:rFonts w:ascii="var(--primary-font)" w:eastAsia="Times New Roman" w:hAnsi="var(--primary-font)" w:cs="Arial"/>
          <w:b/>
          <w:bCs/>
          <w:i/>
          <w:iCs/>
          <w:color w:val="14054D"/>
          <w:sz w:val="30"/>
          <w:szCs w:val="30"/>
          <w:bdr w:val="single" w:sz="2" w:space="0" w:color="E5E7EB" w:frame="1"/>
          <w:lang w:eastAsia="en-ZA"/>
        </w:rPr>
        <w:t>use of advanced IT systems</w:t>
      </w:r>
      <w:r w:rsidRPr="0087489D">
        <w:rPr>
          <w:rFonts w:ascii="var(--primary-font)" w:eastAsia="Times New Roman" w:hAnsi="var(--primary-font)" w:cs="Arial"/>
          <w:i/>
          <w:iCs/>
          <w:color w:val="14054D"/>
          <w:sz w:val="30"/>
          <w:szCs w:val="30"/>
          <w:bdr w:val="single" w:sz="2" w:space="0" w:color="E5E7EB" w:frame="1"/>
          <w:lang w:eastAsia="en-ZA"/>
        </w:rPr>
        <w:t> to detect suspicious activity.”</w:t>
      </w:r>
    </w:p>
    <w:p w14:paraId="48FCC906"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w:t>
      </w:r>
    </w:p>
    <w:p w14:paraId="24B8B9EE"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The use of complexity to hide activity is not a new tactic by cybercriminals or other fraudsters. Evading detection is a common technique used across cybercrime and is prevalent in areas such as Advanced Persistent Threats (APTs) and synthetic identity creation. The ability to decipher the complex nature of fraud that uses trade processes and routes makes TBML the APT equivalent of financial fraud. The tripartite approach to TBML, as recommended by the FATF-Egmont report, should be an approach embraced by FIs and banks, to disrupt the business models used by fraudsters. </w:t>
      </w:r>
    </w:p>
    <w:p w14:paraId="5DC1B5A1"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 </w:t>
      </w:r>
    </w:p>
    <w:p w14:paraId="6B61B6FB"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810" w:lineRule="atLeast"/>
        <w:outlineLvl w:val="1"/>
        <w:rPr>
          <w:rFonts w:ascii="var(--primary-font)" w:eastAsia="Times New Roman" w:hAnsi="var(--primary-font)" w:cs="Arial"/>
          <w:b/>
          <w:bCs/>
          <w:color w:val="14054D"/>
          <w:sz w:val="36"/>
          <w:szCs w:val="36"/>
          <w:bdr w:val="single" w:sz="2" w:space="0" w:color="E5E7EB" w:frame="1"/>
          <w:lang w:eastAsia="en-ZA"/>
        </w:rPr>
      </w:pPr>
      <w:r w:rsidRPr="0087489D">
        <w:rPr>
          <w:rFonts w:ascii="var(--primary-font)" w:eastAsia="Times New Roman" w:hAnsi="var(--primary-font)" w:cs="Arial"/>
          <w:b/>
          <w:bCs/>
          <w:color w:val="14054D"/>
          <w:sz w:val="36"/>
          <w:szCs w:val="36"/>
          <w:bdr w:val="single" w:sz="2" w:space="0" w:color="E5E7EB" w:frame="1"/>
          <w:lang w:eastAsia="en-ZA"/>
        </w:rPr>
        <w:t>Disruption of TBML using AI</w:t>
      </w:r>
    </w:p>
    <w:p w14:paraId="1EB59EB1" w14:textId="77777777" w:rsidR="0087489D" w:rsidRP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r w:rsidRPr="0087489D">
        <w:rPr>
          <w:rFonts w:ascii="var(--primary-font)" w:eastAsia="Times New Roman" w:hAnsi="var(--primary-font)" w:cs="Arial"/>
          <w:color w:val="14054D"/>
          <w:sz w:val="30"/>
          <w:szCs w:val="30"/>
          <w:bdr w:val="single" w:sz="2" w:space="0" w:color="E5E7EB" w:frame="1"/>
          <w:lang w:eastAsia="en-ZA"/>
        </w:rPr>
        <w:t xml:space="preserve">Disrupting those fraudulent business models requires effective detection of TBML events. Red flag indicators are no longer a simple matter of a human operator deciding which event or action is suspicious. The complex interwoven nature of modern TBML requires a method that can tease out a needle from a haystack. Complex patterns of </w:t>
      </w:r>
      <w:proofErr w:type="spellStart"/>
      <w:r w:rsidRPr="0087489D">
        <w:rPr>
          <w:rFonts w:ascii="var(--primary-font)" w:eastAsia="Times New Roman" w:hAnsi="var(--primary-font)" w:cs="Arial"/>
          <w:color w:val="14054D"/>
          <w:sz w:val="30"/>
          <w:szCs w:val="30"/>
          <w:bdr w:val="single" w:sz="2" w:space="0" w:color="E5E7EB" w:frame="1"/>
          <w:lang w:eastAsia="en-ZA"/>
        </w:rPr>
        <w:t>behavior</w:t>
      </w:r>
      <w:proofErr w:type="spellEnd"/>
      <w:r w:rsidRPr="0087489D">
        <w:rPr>
          <w:rFonts w:ascii="var(--primary-font)" w:eastAsia="Times New Roman" w:hAnsi="var(--primary-font)" w:cs="Arial"/>
          <w:color w:val="14054D"/>
          <w:sz w:val="30"/>
          <w:szCs w:val="30"/>
          <w:bdr w:val="single" w:sz="2" w:space="0" w:color="E5E7EB" w:frame="1"/>
          <w:lang w:eastAsia="en-ZA"/>
        </w:rPr>
        <w:t>, opaque documentation, and suspicious transactions underlie trade-based money laundering. Human operators need to work alongside artificial intelligence (AI) enabled technologies to extract these hidden patterns in the web of TBML. As traditional trade-based models of business continue to evolve and become more automated, the financial sector must fight back with equivalent technology. The automation implicit in AI-enabled technologies can be used to help detect TBML that goes under the radar, breaking down the very tactics used by fraudsters to hide their money laundering activities.</w:t>
      </w:r>
    </w:p>
    <w:p w14:paraId="3895A82B" w14:textId="0E2B242C" w:rsidR="0087489D" w:rsidRDefault="0087489D"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r w:rsidRPr="0087489D">
        <w:rPr>
          <w:rFonts w:ascii="var(--primary-font)" w:eastAsia="Times New Roman" w:hAnsi="var(--primary-font)" w:cs="Arial"/>
          <w:color w:val="14054D"/>
          <w:sz w:val="30"/>
          <w:szCs w:val="30"/>
          <w:bdr w:val="single" w:sz="2" w:space="0" w:color="E5E7EB" w:frame="1"/>
          <w:lang w:eastAsia="en-ZA"/>
        </w:rPr>
        <w:br/>
      </w:r>
      <w:proofErr w:type="spellStart"/>
      <w:r w:rsidRPr="0087489D">
        <w:rPr>
          <w:rFonts w:ascii="var(--primary-font)" w:eastAsia="Times New Roman" w:hAnsi="var(--primary-font)" w:cs="Arial"/>
          <w:color w:val="14054D"/>
          <w:sz w:val="30"/>
          <w:szCs w:val="30"/>
          <w:bdr w:val="single" w:sz="2" w:space="0" w:color="E5E7EB" w:frame="1"/>
          <w:lang w:eastAsia="en-ZA"/>
        </w:rPr>
        <w:t>Eastnets</w:t>
      </w:r>
      <w:proofErr w:type="spellEnd"/>
      <w:r w:rsidRPr="0087489D">
        <w:rPr>
          <w:rFonts w:ascii="var(--primary-font)" w:eastAsia="Times New Roman" w:hAnsi="var(--primary-font)" w:cs="Arial"/>
          <w:color w:val="14054D"/>
          <w:sz w:val="30"/>
          <w:szCs w:val="30"/>
          <w:bdr w:val="single" w:sz="2" w:space="0" w:color="E5E7EB" w:frame="1"/>
          <w:lang w:eastAsia="en-ZA"/>
        </w:rPr>
        <w:t xml:space="preserve"> </w:t>
      </w:r>
      <w:proofErr w:type="spellStart"/>
      <w:r w:rsidRPr="0087489D">
        <w:rPr>
          <w:rFonts w:ascii="var(--primary-font)" w:eastAsia="Times New Roman" w:hAnsi="var(--primary-font)" w:cs="Arial"/>
          <w:color w:val="14054D"/>
          <w:sz w:val="30"/>
          <w:szCs w:val="30"/>
          <w:bdr w:val="single" w:sz="2" w:space="0" w:color="E5E7EB" w:frame="1"/>
          <w:lang w:eastAsia="en-ZA"/>
        </w:rPr>
        <w:t>SafeTrade</w:t>
      </w:r>
      <w:proofErr w:type="spellEnd"/>
      <w:r w:rsidRPr="0087489D">
        <w:rPr>
          <w:rFonts w:ascii="var(--primary-font)" w:eastAsia="Times New Roman" w:hAnsi="var(--primary-font)" w:cs="Arial"/>
          <w:color w:val="14054D"/>
          <w:sz w:val="30"/>
          <w:szCs w:val="30"/>
          <w:bdr w:val="single" w:sz="2" w:space="0" w:color="E5E7EB" w:frame="1"/>
          <w:lang w:eastAsia="en-ZA"/>
        </w:rPr>
        <w:t xml:space="preserve"> is a trade-based screening and money laundering monitoring solution built for the future </w:t>
      </w:r>
      <w:hyperlink r:id="rId9" w:history="1">
        <w:r w:rsidRPr="0087489D">
          <w:rPr>
            <w:rFonts w:ascii="var(--primary-font)" w:eastAsia="Times New Roman" w:hAnsi="var(--primary-font)" w:cs="Arial"/>
            <w:color w:val="0000FF"/>
            <w:sz w:val="30"/>
            <w:szCs w:val="30"/>
            <w:u w:val="single"/>
            <w:bdr w:val="single" w:sz="2" w:space="0" w:color="E5E7EB" w:frame="1"/>
            <w:lang w:eastAsia="en-ZA"/>
          </w:rPr>
          <w:t>Learn more</w:t>
        </w:r>
      </w:hyperlink>
      <w:r w:rsidRPr="0087489D">
        <w:rPr>
          <w:rFonts w:ascii="var(--primary-font)" w:eastAsia="Times New Roman" w:hAnsi="var(--primary-font)" w:cs="Arial"/>
          <w:color w:val="102D7B"/>
          <w:sz w:val="30"/>
          <w:szCs w:val="30"/>
          <w:bdr w:val="single" w:sz="2" w:space="0" w:color="E5E7EB" w:frame="1"/>
          <w:shd w:val="clear" w:color="auto" w:fill="FFFFFF"/>
          <w:lang w:eastAsia="en-ZA"/>
        </w:rPr>
        <w:t>.</w:t>
      </w:r>
    </w:p>
    <w:p w14:paraId="28176083" w14:textId="23DE41BB"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208C68FE" w14:textId="45A4ABBE"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6D839EEA" w14:textId="77777777" w:rsidR="002E3239" w:rsidRPr="002E3239" w:rsidRDefault="002E3239" w:rsidP="002E3239">
      <w:pPr>
        <w:shd w:val="clear" w:color="auto" w:fill="FFFFFF"/>
        <w:spacing w:before="100" w:beforeAutospacing="1" w:after="100" w:afterAutospacing="1" w:line="240" w:lineRule="auto"/>
        <w:jc w:val="center"/>
        <w:outlineLvl w:val="0"/>
        <w:rPr>
          <w:rFonts w:ascii="Arial" w:eastAsia="Times New Roman" w:hAnsi="Arial" w:cs="Arial"/>
          <w:b/>
          <w:bCs/>
          <w:kern w:val="36"/>
          <w:sz w:val="48"/>
          <w:szCs w:val="48"/>
          <w:lang w:eastAsia="en-ZA"/>
        </w:rPr>
      </w:pPr>
      <w:r w:rsidRPr="002E3239">
        <w:rPr>
          <w:rFonts w:ascii="Arial" w:eastAsia="Times New Roman" w:hAnsi="Arial" w:cs="Arial"/>
          <w:b/>
          <w:bCs/>
          <w:kern w:val="36"/>
          <w:sz w:val="48"/>
          <w:szCs w:val="48"/>
          <w:lang w:eastAsia="en-ZA"/>
        </w:rPr>
        <w:t>TBML: What Is Trade-Based Money Laundering?</w:t>
      </w:r>
    </w:p>
    <w:p w14:paraId="6D7467B3" w14:textId="77777777" w:rsidR="002E3239" w:rsidRPr="002E3239" w:rsidRDefault="002E3239" w:rsidP="002E3239">
      <w:pPr>
        <w:shd w:val="clear" w:color="auto" w:fill="FFFFFF"/>
        <w:spacing w:after="100" w:afterAutospacing="1" w:line="240" w:lineRule="auto"/>
        <w:jc w:val="center"/>
        <w:outlineLvl w:val="1"/>
        <w:rPr>
          <w:rFonts w:ascii="Arial" w:eastAsia="Times New Roman" w:hAnsi="Arial" w:cs="Arial"/>
          <w:sz w:val="36"/>
          <w:szCs w:val="36"/>
          <w:lang w:eastAsia="en-ZA"/>
        </w:rPr>
      </w:pPr>
      <w:r w:rsidRPr="002E3239">
        <w:rPr>
          <w:rFonts w:ascii="Arial" w:eastAsia="Times New Roman" w:hAnsi="Arial" w:cs="Arial"/>
          <w:sz w:val="36"/>
          <w:szCs w:val="36"/>
          <w:lang w:eastAsia="en-ZA"/>
        </w:rPr>
        <w:t>Trade-based money laundering is the process of disguising the proceeds of crime and moving value using trade transactions to legitimize their illicit origins</w:t>
      </w:r>
    </w:p>
    <w:p w14:paraId="25BB1F10" w14:textId="77777777" w:rsidR="002E3239" w:rsidRPr="002E3239" w:rsidRDefault="002E3239" w:rsidP="002E3239">
      <w:pPr>
        <w:shd w:val="clear" w:color="auto" w:fill="FFFFFF"/>
        <w:spacing w:after="0" w:line="240" w:lineRule="auto"/>
        <w:rPr>
          <w:rFonts w:ascii="Times New Roman" w:eastAsia="Times New Roman" w:hAnsi="Times New Roman" w:cs="Times New Roman"/>
          <w:sz w:val="24"/>
          <w:szCs w:val="24"/>
          <w:lang w:eastAsia="en-ZA"/>
        </w:rPr>
      </w:pPr>
      <w:r w:rsidRPr="002E3239">
        <w:rPr>
          <w:rFonts w:ascii="Times New Roman" w:eastAsia="Times New Roman" w:hAnsi="Times New Roman" w:cs="Times New Roman"/>
          <w:noProof/>
          <w:sz w:val="24"/>
          <w:szCs w:val="24"/>
          <w:lang w:eastAsia="en-ZA"/>
        </w:rPr>
        <w:drawing>
          <wp:inline distT="0" distB="0" distL="0" distR="0" wp14:anchorId="36ABEFDB" wp14:editId="0CEFF72B">
            <wp:extent cx="4560570" cy="3040380"/>
            <wp:effectExtent l="0" t="0" r="0" b="7620"/>
            <wp:docPr id="12" name="Picture 12" descr="A low angl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low angle view of a building&#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60570" cy="3040380"/>
                    </a:xfrm>
                    <a:prstGeom prst="rect">
                      <a:avLst/>
                    </a:prstGeom>
                    <a:noFill/>
                    <a:ln>
                      <a:noFill/>
                    </a:ln>
                  </pic:spPr>
                </pic:pic>
              </a:graphicData>
            </a:graphic>
          </wp:inline>
        </w:drawing>
      </w:r>
    </w:p>
    <w:p w14:paraId="16A364FC" w14:textId="77777777" w:rsidR="002E3239" w:rsidRPr="002E3239" w:rsidRDefault="002E3239" w:rsidP="002E3239">
      <w:pPr>
        <w:spacing w:after="0" w:line="240" w:lineRule="auto"/>
        <w:rPr>
          <w:rFonts w:ascii="Times New Roman" w:eastAsia="Times New Roman" w:hAnsi="Times New Roman" w:cs="Times New Roman"/>
          <w:sz w:val="21"/>
          <w:szCs w:val="21"/>
          <w:lang w:eastAsia="en-ZA"/>
        </w:rPr>
      </w:pPr>
      <w:r w:rsidRPr="002E3239">
        <w:rPr>
          <w:rFonts w:ascii="Arial" w:eastAsia="Times New Roman" w:hAnsi="Arial" w:cs="Arial"/>
          <w:b/>
          <w:bCs/>
          <w:noProof/>
          <w:color w:val="2680FF"/>
          <w:sz w:val="21"/>
          <w:szCs w:val="21"/>
          <w:lang w:eastAsia="en-ZA"/>
        </w:rPr>
        <w:drawing>
          <wp:inline distT="0" distB="0" distL="0" distR="0" wp14:anchorId="6FF9DB8D" wp14:editId="49E85AB9">
            <wp:extent cx="391160" cy="586740"/>
            <wp:effectExtent l="0" t="0" r="8890" b="3810"/>
            <wp:docPr id="13" name="Picture 13" descr="Sebastian Hetzler">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bastian Hetzler">
                      <a:hlinkClick r:id="rId11"/>
                    </pic:cNvP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391160" cy="586740"/>
                    </a:xfrm>
                    <a:prstGeom prst="rect">
                      <a:avLst/>
                    </a:prstGeom>
                    <a:noFill/>
                    <a:ln>
                      <a:noFill/>
                    </a:ln>
                  </pic:spPr>
                </pic:pic>
              </a:graphicData>
            </a:graphic>
          </wp:inline>
        </w:drawing>
      </w:r>
      <w:r w:rsidRPr="002E3239">
        <w:rPr>
          <w:rFonts w:ascii="Times New Roman" w:eastAsia="Times New Roman" w:hAnsi="Times New Roman" w:cs="Times New Roman"/>
          <w:sz w:val="21"/>
          <w:szCs w:val="21"/>
          <w:lang w:eastAsia="en-ZA"/>
        </w:rPr>
        <w:t>by </w:t>
      </w:r>
      <w:hyperlink r:id="rId13" w:history="1">
        <w:r w:rsidRPr="002E3239">
          <w:rPr>
            <w:rFonts w:ascii="Arial" w:eastAsia="Times New Roman" w:hAnsi="Arial" w:cs="Arial"/>
            <w:b/>
            <w:bCs/>
            <w:color w:val="2680FF"/>
            <w:sz w:val="21"/>
            <w:szCs w:val="21"/>
            <w:u w:val="single"/>
            <w:lang w:eastAsia="en-ZA"/>
          </w:rPr>
          <w:t>Sebastian Hetzler</w:t>
        </w:r>
      </w:hyperlink>
    </w:p>
    <w:p w14:paraId="38C914A6" w14:textId="77777777" w:rsidR="001A5B13" w:rsidRDefault="001A5B13" w:rsidP="002E3239">
      <w:pPr>
        <w:spacing w:after="100" w:afterAutospacing="1" w:line="240" w:lineRule="auto"/>
        <w:rPr>
          <w:rFonts w:ascii="Arial" w:eastAsia="Times New Roman" w:hAnsi="Arial" w:cs="Arial"/>
          <w:caps/>
          <w:sz w:val="24"/>
          <w:szCs w:val="24"/>
          <w:lang w:eastAsia="en-ZA"/>
        </w:rPr>
      </w:pPr>
    </w:p>
    <w:p w14:paraId="7C58A04A" w14:textId="71ED5454" w:rsidR="002E3239" w:rsidRPr="002E3239" w:rsidRDefault="002E3239" w:rsidP="002E3239">
      <w:pPr>
        <w:spacing w:after="100" w:afterAutospacing="1" w:line="240" w:lineRule="auto"/>
        <w:rPr>
          <w:rFonts w:ascii="Arial" w:eastAsia="Times New Roman" w:hAnsi="Arial" w:cs="Arial"/>
          <w:caps/>
          <w:sz w:val="24"/>
          <w:szCs w:val="24"/>
          <w:lang w:eastAsia="en-ZA"/>
        </w:rPr>
      </w:pPr>
      <w:r w:rsidRPr="002E3239">
        <w:rPr>
          <w:rFonts w:ascii="Arial" w:eastAsia="Times New Roman" w:hAnsi="Arial" w:cs="Arial"/>
          <w:caps/>
          <w:sz w:val="24"/>
          <w:szCs w:val="24"/>
          <w:lang w:eastAsia="en-ZA"/>
        </w:rPr>
        <w:t>MARCH 11, 2022</w:t>
      </w:r>
    </w:p>
    <w:p w14:paraId="6F0A3090" w14:textId="77777777" w:rsidR="002E3239" w:rsidRPr="002E3239" w:rsidRDefault="002E3239" w:rsidP="002E3239">
      <w:pPr>
        <w:spacing w:after="100" w:afterAutospacing="1" w:line="240" w:lineRule="auto"/>
        <w:rPr>
          <w:rFonts w:ascii="Arial" w:eastAsia="Times New Roman" w:hAnsi="Arial" w:cs="Arial"/>
          <w:b/>
          <w:bCs/>
          <w:caps/>
          <w:sz w:val="24"/>
          <w:szCs w:val="24"/>
          <w:lang w:eastAsia="en-ZA"/>
        </w:rPr>
      </w:pPr>
      <w:r w:rsidRPr="002E3239">
        <w:rPr>
          <w:rFonts w:ascii="Arial" w:eastAsia="Times New Roman" w:hAnsi="Arial" w:cs="Arial"/>
          <w:b/>
          <w:bCs/>
          <w:caps/>
          <w:sz w:val="24"/>
          <w:szCs w:val="24"/>
          <w:lang w:eastAsia="en-ZA"/>
        </w:rPr>
        <w:t>FRAUD PROTECTION &amp; COMPLIANCE</w:t>
      </w:r>
    </w:p>
    <w:p w14:paraId="74F603EA" w14:textId="77777777" w:rsidR="002E3239" w:rsidRPr="001A5B13" w:rsidRDefault="002E3239" w:rsidP="001A5B13">
      <w:pPr>
        <w:spacing w:after="120"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 xml:space="preserve">Trade-based money laundering (TBML) is a growing risk, as seemingly legitimate transactions are exploited by criminal groups to launder funds and finance terrorist activity. In this two-part series, we will explore some recent studies on TBML, the challenges faced in countering this kind of money laundering and some industry trends. </w:t>
      </w:r>
      <w:proofErr w:type="gramStart"/>
      <w:r w:rsidRPr="001A5B13">
        <w:rPr>
          <w:rFonts w:ascii="Arial" w:eastAsia="Times New Roman" w:hAnsi="Arial" w:cs="Arial"/>
          <w:sz w:val="24"/>
          <w:szCs w:val="24"/>
          <w:lang w:eastAsia="en-ZA"/>
        </w:rPr>
        <w:t>However</w:t>
      </w:r>
      <w:proofErr w:type="gramEnd"/>
      <w:r w:rsidRPr="001A5B13">
        <w:rPr>
          <w:rFonts w:ascii="Arial" w:eastAsia="Times New Roman" w:hAnsi="Arial" w:cs="Arial"/>
          <w:sz w:val="24"/>
          <w:szCs w:val="24"/>
          <w:lang w:eastAsia="en-ZA"/>
        </w:rPr>
        <w:t xml:space="preserve"> to set a context, we must first answer the question – what is trade-based money laundering?</w:t>
      </w:r>
    </w:p>
    <w:p w14:paraId="1D010EBD"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In its simplest definition, trade-based money laundering is the process of disguising the proceeds of crime and moving value (i.e., movement of money) using trade transactions to legitimize their illicit origins. TBML involves the exploitation of the international trade system for the purpose of transferring value and obscuring the true origins of illicit wealth. TBML schemes vary in complexity but typically involve misrepresentation of the price, quantity, or quality of imports or exports.</w:t>
      </w:r>
    </w:p>
    <w:p w14:paraId="4C9F1D56"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Two recent studies have provided a more in-depth analysis of the problem. The U.S. Government Accountability Office (GAO) published the results of a study on trade-based money laundering entitled </w:t>
      </w:r>
      <w:hyperlink r:id="rId14" w:tgtFrame="_blank" w:history="1">
        <w:r w:rsidRPr="001A5B13">
          <w:rPr>
            <w:rFonts w:ascii="Arial" w:eastAsia="Times New Roman" w:hAnsi="Arial" w:cs="Arial"/>
            <w:b/>
            <w:bCs/>
            <w:color w:val="2680FF"/>
            <w:sz w:val="24"/>
            <w:szCs w:val="24"/>
            <w:u w:val="single"/>
            <w:lang w:eastAsia="en-ZA"/>
          </w:rPr>
          <w:t>“Countering Illicit Finance and Trade: U.S. Efforts to Combat Trade-Based Money Laundering”</w:t>
        </w:r>
      </w:hyperlink>
      <w:r w:rsidRPr="001A5B13">
        <w:rPr>
          <w:rFonts w:ascii="Arial" w:eastAsia="Times New Roman" w:hAnsi="Arial" w:cs="Arial"/>
          <w:sz w:val="24"/>
          <w:szCs w:val="24"/>
          <w:lang w:eastAsia="en-ZA"/>
        </w:rPr>
        <w:t>. This study, together with the U.S. Department of Treasury report entitled the </w:t>
      </w:r>
      <w:hyperlink r:id="rId15" w:tgtFrame="_blank" w:history="1">
        <w:r w:rsidRPr="001A5B13">
          <w:rPr>
            <w:rFonts w:ascii="Arial" w:eastAsia="Times New Roman" w:hAnsi="Arial" w:cs="Arial"/>
            <w:b/>
            <w:bCs/>
            <w:color w:val="2680FF"/>
            <w:sz w:val="24"/>
            <w:szCs w:val="24"/>
            <w:u w:val="single"/>
            <w:lang w:eastAsia="en-ZA"/>
          </w:rPr>
          <w:t>2018 National Money Laundering Risk Assessment</w:t>
        </w:r>
      </w:hyperlink>
      <w:r w:rsidRPr="001A5B13">
        <w:rPr>
          <w:rFonts w:ascii="Arial" w:eastAsia="Times New Roman" w:hAnsi="Arial" w:cs="Arial"/>
          <w:sz w:val="24"/>
          <w:szCs w:val="24"/>
          <w:lang w:eastAsia="en-ZA"/>
        </w:rPr>
        <w:t>, identify TBML not only as one of the most used, but also as one of the most difficult to detect methods of money laundering. Criminal organizations (from organized criminal groups to professional money launderers and terrorist financing networks) utilize TBML to disguise the origin of criminal proceeds by “integrating it into the formal economy” through trade transactions. The GAO Study goes on to say that “In addition to TBML, criminal organizations may also be involved in other trade-facilitated criminal activity, such as customs fraud, trafficking in counterfeit goods, or tax evasion.”</w:t>
      </w:r>
    </w:p>
    <w:p w14:paraId="0F353A52"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More recently, the G7’s Financial Action Task Force (FATF) and the Egmont Group released a </w:t>
      </w:r>
      <w:hyperlink r:id="rId16" w:tgtFrame="_blank" w:history="1">
        <w:r w:rsidRPr="001A5B13">
          <w:rPr>
            <w:rFonts w:ascii="Arial" w:eastAsia="Times New Roman" w:hAnsi="Arial" w:cs="Arial"/>
            <w:b/>
            <w:bCs/>
            <w:color w:val="2680FF"/>
            <w:sz w:val="24"/>
            <w:szCs w:val="24"/>
            <w:u w:val="single"/>
            <w:lang w:eastAsia="en-ZA"/>
          </w:rPr>
          <w:t>joint study</w:t>
        </w:r>
      </w:hyperlink>
      <w:r w:rsidRPr="001A5B13">
        <w:rPr>
          <w:rFonts w:ascii="Arial" w:eastAsia="Times New Roman" w:hAnsi="Arial" w:cs="Arial"/>
          <w:sz w:val="24"/>
          <w:szCs w:val="24"/>
          <w:lang w:eastAsia="en-ZA"/>
        </w:rPr>
        <w:t xml:space="preserve"> which recognizes the criminal abuse present in trade transactions while raising the understanding of trade-based money laundering. Money laundering continues to be a significant concern – both in the U.S. and globally – because it facilitates and disguises the proceeds of crime, can alter markets, and have broader implications on financial systems. According to the FATF and </w:t>
      </w:r>
      <w:proofErr w:type="spellStart"/>
      <w:r w:rsidRPr="001A5B13">
        <w:rPr>
          <w:rFonts w:ascii="Arial" w:eastAsia="Times New Roman" w:hAnsi="Arial" w:cs="Arial"/>
          <w:sz w:val="24"/>
          <w:szCs w:val="24"/>
          <w:lang w:eastAsia="en-ZA"/>
        </w:rPr>
        <w:t>Edgmont</w:t>
      </w:r>
      <w:proofErr w:type="spellEnd"/>
      <w:r w:rsidRPr="001A5B13">
        <w:rPr>
          <w:rFonts w:ascii="Arial" w:eastAsia="Times New Roman" w:hAnsi="Arial" w:cs="Arial"/>
          <w:sz w:val="24"/>
          <w:szCs w:val="24"/>
          <w:lang w:eastAsia="en-ZA"/>
        </w:rPr>
        <w:t xml:space="preserve"> Group study, TBML is “one of the primary means that criminal organizations use to launder illicit proceeds.”</w:t>
      </w:r>
    </w:p>
    <w:p w14:paraId="080B199C"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As the </w:t>
      </w:r>
      <w:hyperlink r:id="rId17" w:tgtFrame="_blank" w:history="1">
        <w:r w:rsidRPr="001A5B13">
          <w:rPr>
            <w:rFonts w:ascii="Arial" w:eastAsia="Times New Roman" w:hAnsi="Arial" w:cs="Arial"/>
            <w:b/>
            <w:bCs/>
            <w:color w:val="2680FF"/>
            <w:sz w:val="24"/>
            <w:szCs w:val="24"/>
            <w:u w:val="single"/>
            <w:lang w:eastAsia="en-ZA"/>
          </w:rPr>
          <w:t>U.S. Department of the Treasury</w:t>
        </w:r>
      </w:hyperlink>
      <w:r w:rsidRPr="001A5B13">
        <w:rPr>
          <w:rFonts w:ascii="Arial" w:eastAsia="Times New Roman" w:hAnsi="Arial" w:cs="Arial"/>
          <w:sz w:val="24"/>
          <w:szCs w:val="24"/>
          <w:lang w:eastAsia="en-ZA"/>
        </w:rPr>
        <w:t> notes, “Trade can be inherently complex and complicated, reflecting the nature of interconnected supply chains stretching around the world,” not to mention the sheer volume of international trade. Trade is also highly adaptive, giving criminal organizations ample opportunity to infiltrate and even use legitimate channels and financial institutions to launder the proceeds of crime, finance terrorism, and evade sanctions. Criminal organizations will exploit any sector, any commodity or service.</w:t>
      </w:r>
    </w:p>
    <w:p w14:paraId="2CE22388"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Typical TBML common techniques include:</w:t>
      </w:r>
    </w:p>
    <w:p w14:paraId="7A79D22C"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False reporting on invoices, such as commodity misclassification, commodity over- or under-valuation.</w:t>
      </w:r>
    </w:p>
    <w:p w14:paraId="2E80E3E9"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Repeated importation and exportation of the same high-value commodity, known as carousel transactions.</w:t>
      </w:r>
    </w:p>
    <w:p w14:paraId="21B43A49"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Commodities being traded that do not match the business involved.</w:t>
      </w:r>
    </w:p>
    <w:p w14:paraId="1A2CD7CA"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The over- or under-valuation of goods on the invoice and other documentation.</w:t>
      </w:r>
    </w:p>
    <w:p w14:paraId="455F2EFC"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Over- or under-shipment of goods or services (also, phantom shipments).</w:t>
      </w:r>
    </w:p>
    <w:p w14:paraId="6F9A41C6"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Shell companies or offshore front companies.</w:t>
      </w:r>
    </w:p>
    <w:p w14:paraId="0BDA4D08"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Third-party intermediaries facilitating invoice settlement.</w:t>
      </w:r>
    </w:p>
    <w:p w14:paraId="50C9E85F"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Illicit cash integration in financial settlement.</w:t>
      </w:r>
    </w:p>
    <w:p w14:paraId="6CE474C0" w14:textId="77777777" w:rsidR="002E3239" w:rsidRPr="001A5B13" w:rsidRDefault="002E3239" w:rsidP="001A5B13">
      <w:pPr>
        <w:numPr>
          <w:ilvl w:val="0"/>
          <w:numId w:val="14"/>
        </w:numPr>
        <w:spacing w:before="100" w:beforeAutospacing="1" w:after="100" w:afterAutospacing="1" w:line="240" w:lineRule="auto"/>
        <w:ind w:left="495"/>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Misuse of existing trade chain to move funds for terrorists (evasion of sanctions / financing of terrorism).</w:t>
      </w:r>
    </w:p>
    <w:p w14:paraId="135FEDB4"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The </w:t>
      </w:r>
      <w:hyperlink r:id="rId18" w:tgtFrame="_blank" w:history="1">
        <w:r w:rsidRPr="001A5B13">
          <w:rPr>
            <w:rFonts w:ascii="Arial" w:eastAsia="Times New Roman" w:hAnsi="Arial" w:cs="Arial"/>
            <w:b/>
            <w:bCs/>
            <w:color w:val="2680FF"/>
            <w:sz w:val="24"/>
            <w:szCs w:val="24"/>
            <w:u w:val="single"/>
            <w:lang w:eastAsia="en-ZA"/>
          </w:rPr>
          <w:t>Black Market Peso Exchange</w:t>
        </w:r>
      </w:hyperlink>
      <w:r w:rsidRPr="001A5B13">
        <w:rPr>
          <w:rFonts w:ascii="Arial" w:eastAsia="Times New Roman" w:hAnsi="Arial" w:cs="Arial"/>
          <w:sz w:val="24"/>
          <w:szCs w:val="24"/>
          <w:lang w:eastAsia="en-ZA"/>
        </w:rPr>
        <w:t> is a good example of a more complex scheme of TBML used by Central and South American drug cartels to launder drug proceeds generated in the United States. Both FATF/Egmont joint study and the GAO Study provide detailed examples for various money laundering techniques and methods in their reports.</w:t>
      </w:r>
    </w:p>
    <w:p w14:paraId="622EC0EB" w14:textId="77777777" w:rsidR="002E3239" w:rsidRPr="001A5B13" w:rsidRDefault="002E3239" w:rsidP="001A5B13">
      <w:pPr>
        <w:spacing w:after="100" w:afterAutospacing="1" w:line="240" w:lineRule="auto"/>
        <w:jc w:val="both"/>
        <w:rPr>
          <w:rFonts w:ascii="Arial" w:eastAsia="Times New Roman" w:hAnsi="Arial" w:cs="Arial"/>
          <w:sz w:val="24"/>
          <w:szCs w:val="24"/>
          <w:lang w:eastAsia="en-ZA"/>
        </w:rPr>
      </w:pPr>
      <w:r w:rsidRPr="001A5B13">
        <w:rPr>
          <w:rFonts w:ascii="Arial" w:eastAsia="Times New Roman" w:hAnsi="Arial" w:cs="Arial"/>
          <w:sz w:val="24"/>
          <w:szCs w:val="24"/>
          <w:lang w:eastAsia="en-ZA"/>
        </w:rPr>
        <w:t>In my next post, I will focus on the challenges faced in countering the TBML problem and some of the recent industry trends in anti-money laundering.</w:t>
      </w:r>
    </w:p>
    <w:p w14:paraId="595D7F33" w14:textId="7C0CF898"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8A9DFCC" w14:textId="47FB6342"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21BC621" w14:textId="4E8C89B9"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008C5EB8" w14:textId="46F7A26F"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39CF4CA9" w14:textId="37678752"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19BF2E1B" w14:textId="56588910" w:rsidR="002E3239" w:rsidRDefault="002E3239"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02D7B"/>
          <w:sz w:val="30"/>
          <w:szCs w:val="30"/>
          <w:bdr w:val="single" w:sz="2" w:space="0" w:color="E5E7EB" w:frame="1"/>
          <w:shd w:val="clear" w:color="auto" w:fill="FFFFFF"/>
          <w:lang w:eastAsia="en-ZA"/>
        </w:rPr>
      </w:pPr>
    </w:p>
    <w:p w14:paraId="723EF20D"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noProof/>
          <w:color w:val="212529"/>
          <w:sz w:val="23"/>
          <w:szCs w:val="23"/>
          <w:lang w:eastAsia="en-ZA"/>
        </w:rPr>
        <w:drawing>
          <wp:inline distT="0" distB="0" distL="0" distR="0" wp14:anchorId="34BA7173" wp14:editId="6F9F16ED">
            <wp:extent cx="5715000" cy="8084820"/>
            <wp:effectExtent l="0" t="0" r="0" b="0"/>
            <wp:docPr id="17" name="Picture 17" descr="Poster on Trade based Money launde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ster on Trade based Money launderi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15000" cy="8084820"/>
                    </a:xfrm>
                    <a:prstGeom prst="rect">
                      <a:avLst/>
                    </a:prstGeom>
                    <a:noFill/>
                    <a:ln>
                      <a:noFill/>
                    </a:ln>
                  </pic:spPr>
                </pic:pic>
              </a:graphicData>
            </a:graphic>
          </wp:inline>
        </w:drawing>
      </w:r>
    </w:p>
    <w:p w14:paraId="73D8D042"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b/>
          <w:bCs/>
          <w:color w:val="212529"/>
          <w:sz w:val="23"/>
          <w:szCs w:val="23"/>
          <w:lang w:val="en-GB" w:eastAsia="en-ZA"/>
        </w:rPr>
        <w:t>Introduction</w:t>
      </w:r>
    </w:p>
    <w:p w14:paraId="5FBA77C6"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During the COVID pandemic, several governments in the Southern African region introduced lockdown measures. To take advantage of the work from home modalities and travel restrictions that had been put in place, in May 2020 UNODC Southern Africa, started engaging the ARINSA family to take online money laundering courses. As a result UNODC has been running several e-learning courses via the </w:t>
      </w:r>
      <w:hyperlink r:id="rId20" w:tgtFrame="_blank" w:tooltip="Glossary : ARINSA" w:history="1">
        <w:r w:rsidRPr="002E3239">
          <w:rPr>
            <w:rFonts w:ascii="Segoe UI" w:eastAsia="Times New Roman" w:hAnsi="Segoe UI" w:cs="Segoe UI"/>
            <w:color w:val="0F6FC5"/>
            <w:sz w:val="23"/>
            <w:szCs w:val="23"/>
            <w:u w:val="single"/>
            <w:lang w:val="en" w:eastAsia="en-ZA"/>
          </w:rPr>
          <w:t>ARINSA</w:t>
        </w:r>
      </w:hyperlink>
      <w:r w:rsidRPr="002E3239">
        <w:rPr>
          <w:rFonts w:ascii="Segoe UI" w:eastAsia="Times New Roman" w:hAnsi="Segoe UI" w:cs="Segoe UI"/>
          <w:color w:val="212529"/>
          <w:sz w:val="23"/>
          <w:szCs w:val="23"/>
          <w:lang w:val="en" w:eastAsia="en-ZA"/>
        </w:rPr>
        <w:t> website and this will likely continue into the foreseeable future. During each month focus was given to specific topics. The focus for the month of May was “Introduction to Money Laundering”. In the month of July, the focus was on “Financial Investigations: Search and Seizures”. During the month of August, the focus was on “prosecuting money laundering and asset forfeiture cases”. The month of September has been reserved for the judiciary.</w:t>
      </w:r>
    </w:p>
    <w:p w14:paraId="0F91D441"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In addition to these courses and based on the priorities set by the ARINSA countries, UNODC will run a Trade-Based Money Laundering e-Training from 19- 20 October 2020. </w:t>
      </w:r>
    </w:p>
    <w:p w14:paraId="6888759D"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The e-training is intended to be undertaken by </w:t>
      </w:r>
      <w:r w:rsidRPr="002E3239">
        <w:rPr>
          <w:rFonts w:ascii="Segoe UI" w:eastAsia="Times New Roman" w:hAnsi="Segoe UI" w:cs="Segoe UI"/>
          <w:color w:val="212529"/>
          <w:sz w:val="23"/>
          <w:szCs w:val="23"/>
          <w:lang w:val="en-GB" w:eastAsia="en-ZA"/>
        </w:rPr>
        <w:t>judges and magistrates,</w:t>
      </w:r>
      <w:r w:rsidRPr="002E3239">
        <w:rPr>
          <w:rFonts w:ascii="Segoe UI" w:eastAsia="Times New Roman" w:hAnsi="Segoe UI" w:cs="Segoe UI"/>
          <w:color w:val="212529"/>
          <w:sz w:val="23"/>
          <w:szCs w:val="23"/>
          <w:lang w:eastAsia="en-ZA"/>
        </w:rPr>
        <w:t> staff members of the FIU, </w:t>
      </w:r>
      <w:r w:rsidRPr="002E3239">
        <w:rPr>
          <w:rFonts w:ascii="Segoe UI" w:eastAsia="Times New Roman" w:hAnsi="Segoe UI" w:cs="Segoe UI"/>
          <w:color w:val="212529"/>
          <w:sz w:val="23"/>
          <w:szCs w:val="23"/>
          <w:lang w:val="en-GB" w:eastAsia="en-ZA"/>
        </w:rPr>
        <w:t>customs, police, tax/revenue administrators, and other law enforcement authorities responsible for money laundering investigations.   It </w:t>
      </w:r>
      <w:r w:rsidRPr="002E3239">
        <w:rPr>
          <w:rFonts w:ascii="Segoe UI" w:eastAsia="Times New Roman" w:hAnsi="Segoe UI" w:cs="Segoe UI"/>
          <w:color w:val="212529"/>
          <w:sz w:val="23"/>
          <w:szCs w:val="23"/>
          <w:lang w:eastAsia="en-ZA"/>
        </w:rPr>
        <w:t xml:space="preserve">comprises of six (6) sessions that are covered in a </w:t>
      </w:r>
      <w:proofErr w:type="gramStart"/>
      <w:r w:rsidRPr="002E3239">
        <w:rPr>
          <w:rFonts w:ascii="Segoe UI" w:eastAsia="Times New Roman" w:hAnsi="Segoe UI" w:cs="Segoe UI"/>
          <w:color w:val="212529"/>
          <w:sz w:val="23"/>
          <w:szCs w:val="23"/>
          <w:lang w:eastAsia="en-ZA"/>
        </w:rPr>
        <w:t>two and a half day</w:t>
      </w:r>
      <w:proofErr w:type="gramEnd"/>
      <w:r w:rsidRPr="002E3239">
        <w:rPr>
          <w:rFonts w:ascii="Segoe UI" w:eastAsia="Times New Roman" w:hAnsi="Segoe UI" w:cs="Segoe UI"/>
          <w:color w:val="212529"/>
          <w:sz w:val="23"/>
          <w:szCs w:val="23"/>
          <w:lang w:eastAsia="en-ZA"/>
        </w:rPr>
        <w:t xml:space="preserve"> live webinar.</w:t>
      </w:r>
    </w:p>
    <w:p w14:paraId="5614E41F"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 </w:t>
      </w:r>
    </w:p>
    <w:p w14:paraId="7A805C2A"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The objectives and the agenda of the webinar are outlined  in the table on the following pages. </w:t>
      </w:r>
    </w:p>
    <w:p w14:paraId="295CAE78"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val="en" w:eastAsia="en-ZA"/>
        </w:rPr>
        <w:t>UNODC kindly requests all contact points, heads of departments and colleagues to spread this message to all relevant stakeholders within the asset forfeiture space to avail themselves to take this course.</w:t>
      </w:r>
    </w:p>
    <w:p w14:paraId="639E0B22" w14:textId="77777777" w:rsidR="002E3239" w:rsidRPr="002E3239" w:rsidRDefault="002E3239" w:rsidP="002E3239">
      <w:pPr>
        <w:shd w:val="clear" w:color="auto" w:fill="FFFFFF"/>
        <w:spacing w:after="100" w:afterAutospacing="1" w:line="240" w:lineRule="auto"/>
        <w:rPr>
          <w:rFonts w:ascii="Segoe UI" w:eastAsia="Times New Roman" w:hAnsi="Segoe UI" w:cs="Segoe UI"/>
          <w:color w:val="212529"/>
          <w:sz w:val="23"/>
          <w:szCs w:val="23"/>
          <w:lang w:eastAsia="en-ZA"/>
        </w:rPr>
      </w:pPr>
      <w:r w:rsidRPr="002E3239">
        <w:rPr>
          <w:rFonts w:ascii="Segoe UI" w:eastAsia="Times New Roman" w:hAnsi="Segoe UI" w:cs="Segoe UI"/>
          <w:color w:val="212529"/>
          <w:sz w:val="23"/>
          <w:szCs w:val="23"/>
          <w:lang w:eastAsia="en-ZA"/>
        </w:rPr>
        <w:t>We hope that you will enrol and be able to enjoy, and benefit from this course.</w:t>
      </w:r>
    </w:p>
    <w:p w14:paraId="411DF383" w14:textId="77777777" w:rsidR="002E3239" w:rsidRPr="002E3239" w:rsidRDefault="002E3239" w:rsidP="002E3239">
      <w:pPr>
        <w:shd w:val="clear" w:color="auto" w:fill="FFFFFF"/>
        <w:spacing w:after="0" w:line="240" w:lineRule="auto"/>
        <w:rPr>
          <w:rFonts w:ascii="Segoe UI" w:eastAsia="Times New Roman" w:hAnsi="Segoe UI" w:cs="Segoe UI"/>
          <w:color w:val="212529"/>
          <w:sz w:val="23"/>
          <w:szCs w:val="23"/>
          <w:lang w:eastAsia="en-ZA"/>
        </w:rPr>
      </w:pPr>
      <w:r w:rsidRPr="002E3239">
        <w:rPr>
          <w:rFonts w:ascii="Segoe UI" w:eastAsia="Times New Roman" w:hAnsi="Segoe UI" w:cs="Segoe UI"/>
          <w:b/>
          <w:bCs/>
          <w:color w:val="212529"/>
          <w:sz w:val="23"/>
          <w:szCs w:val="23"/>
          <w:lang w:val="en-GB" w:eastAsia="en-ZA"/>
        </w:rPr>
        <w:t>  </w:t>
      </w:r>
    </w:p>
    <w:p w14:paraId="0A6E4927" w14:textId="77777777" w:rsidR="007353CC" w:rsidRPr="007353CC" w:rsidRDefault="007353CC" w:rsidP="007353CC">
      <w:pPr>
        <w:shd w:val="clear" w:color="auto" w:fill="4F9EB2"/>
        <w:spacing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0720E8EE" wp14:editId="149499F3">
            <wp:extent cx="800100" cy="1417320"/>
            <wp:effectExtent l="0" t="0" r="0" b="0"/>
            <wp:docPr id="7" name="Picture 7" descr="FATF log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ATF logo">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43F90900"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23E2CE8E" wp14:editId="4F1AD7CE">
            <wp:extent cx="304800" cy="304800"/>
            <wp:effectExtent l="0" t="0" r="0" b="0"/>
            <wp:docPr id="8" name="Picture 8"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43DB28CE"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5D7A88"/>
          <w:sz w:val="27"/>
          <w:szCs w:val="27"/>
          <w:lang w:eastAsia="en-ZA"/>
        </w:rPr>
        <w:t>English</w:t>
      </w:r>
    </w:p>
    <w:p w14:paraId="0F6778C5"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The </w:t>
      </w:r>
      <w:proofErr w:type="spellStart"/>
      <w:r w:rsidRPr="007353CC">
        <w:rPr>
          <w:rFonts w:ascii="Calibri" w:eastAsia="Times New Roman" w:hAnsi="Calibri" w:cs="Calibri"/>
          <w:color w:val="333333"/>
          <w:sz w:val="27"/>
          <w:szCs w:val="27"/>
          <w:lang w:eastAsia="en-ZA"/>
        </w:rPr>
        <w:t>FATFCountriesPublicationsTopicsCalendars</w:t>
      </w:r>
      <w:proofErr w:type="spellEnd"/>
    </w:p>
    <w:p w14:paraId="0F90E14E"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25" w:history="1">
        <w:r w:rsidRPr="007353CC">
          <w:rPr>
            <w:rFonts w:ascii="Calibri" w:eastAsia="Times New Roman" w:hAnsi="Calibri" w:cs="Calibri"/>
            <w:color w:val="5D7A88"/>
            <w:sz w:val="24"/>
            <w:szCs w:val="24"/>
            <w:u w:val="single"/>
            <w:lang w:eastAsia="en-ZA"/>
          </w:rPr>
          <w:t>Home </w:t>
        </w:r>
      </w:hyperlink>
    </w:p>
    <w:p w14:paraId="4420289B"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20C28FC9"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26" w:history="1">
        <w:r w:rsidRPr="007353CC">
          <w:rPr>
            <w:rFonts w:ascii="Calibri" w:eastAsia="Times New Roman" w:hAnsi="Calibri" w:cs="Calibri"/>
            <w:color w:val="5D7A88"/>
            <w:sz w:val="24"/>
            <w:szCs w:val="24"/>
            <w:u w:val="single"/>
            <w:lang w:eastAsia="en-ZA"/>
          </w:rPr>
          <w:t>Publications </w:t>
        </w:r>
      </w:hyperlink>
    </w:p>
    <w:p w14:paraId="6312E4D0"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66E0F4C0" w14:textId="77777777" w:rsidR="007353CC" w:rsidRPr="007353CC" w:rsidRDefault="007353CC" w:rsidP="007353CC">
      <w:pPr>
        <w:numPr>
          <w:ilvl w:val="0"/>
          <w:numId w:val="13"/>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7353CC">
        <w:rPr>
          <w:rFonts w:ascii="Calibri" w:eastAsia="Times New Roman" w:hAnsi="Calibri" w:cs="Calibri"/>
          <w:b/>
          <w:bCs/>
          <w:color w:val="333333"/>
          <w:sz w:val="27"/>
          <w:szCs w:val="27"/>
          <w:lang w:eastAsia="en-ZA"/>
        </w:rPr>
        <w:t>FATF/Egmont Trade-based Money Laundering: Trends and Developments</w:t>
      </w:r>
    </w:p>
    <w:p w14:paraId="5F1A46E2" w14:textId="77777777" w:rsidR="007353CC" w:rsidRPr="007353CC" w:rsidRDefault="007353CC" w:rsidP="007353CC">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7353CC">
        <w:rPr>
          <w:rFonts w:ascii="Calibri" w:eastAsia="Times New Roman" w:hAnsi="Calibri" w:cs="Calibri"/>
          <w:b/>
          <w:bCs/>
          <w:color w:val="333333"/>
          <w:kern w:val="36"/>
          <w:sz w:val="66"/>
          <w:szCs w:val="66"/>
          <w:lang w:eastAsia="en-ZA"/>
        </w:rPr>
        <w:t>FATF/Egmont Trade-based Money Laundering: Trends and Developments</w:t>
      </w:r>
    </w:p>
    <w:p w14:paraId="0E1E43D7" w14:textId="77777777" w:rsidR="007353CC" w:rsidRPr="007353CC" w:rsidRDefault="007353CC" w:rsidP="007353CC">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7353CC">
        <w:rPr>
          <w:rFonts w:ascii="Calibri" w:eastAsia="Times New Roman" w:hAnsi="Calibri" w:cs="Calibri"/>
          <w:b/>
          <w:bCs/>
          <w:color w:val="333333"/>
          <w:sz w:val="33"/>
          <w:szCs w:val="33"/>
          <w:lang w:eastAsia="en-ZA"/>
        </w:rPr>
        <w:t>Publication details</w:t>
      </w:r>
    </w:p>
    <w:p w14:paraId="3A1D4C9F"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Language</w:t>
      </w:r>
    </w:p>
    <w:p w14:paraId="11114E79"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English</w:t>
      </w:r>
    </w:p>
    <w:p w14:paraId="5FFC4236"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hyperlink r:id="rId27" w:history="1">
        <w:r w:rsidRPr="007353CC">
          <w:rPr>
            <w:rFonts w:ascii="Calibri" w:eastAsia="Times New Roman" w:hAnsi="Calibri" w:cs="Calibri"/>
            <w:color w:val="267589"/>
            <w:sz w:val="21"/>
            <w:szCs w:val="21"/>
            <w:u w:val="single"/>
            <w:lang w:eastAsia="en-ZA"/>
          </w:rPr>
          <w:t>French</w:t>
        </w:r>
      </w:hyperlink>
    </w:p>
    <w:p w14:paraId="6B84EBAE"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Country</w:t>
      </w:r>
    </w:p>
    <w:p w14:paraId="655258C9"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Topic</w:t>
      </w:r>
    </w:p>
    <w:p w14:paraId="23250A7C"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Methods and Trends</w:t>
      </w:r>
    </w:p>
    <w:p w14:paraId="5F100D5D"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333333"/>
          <w:sz w:val="27"/>
          <w:szCs w:val="27"/>
          <w:lang w:eastAsia="en-ZA"/>
        </w:rPr>
        <w:drawing>
          <wp:inline distT="0" distB="0" distL="0" distR="0" wp14:anchorId="53D5D8D8" wp14:editId="4DECBC98">
            <wp:extent cx="1905000" cy="2697480"/>
            <wp:effectExtent l="0" t="0" r="0" b="7620"/>
            <wp:docPr id="9" name="Picture 9"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businesscard&#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5DD8C38"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29" w:history="1">
        <w:r w:rsidRPr="007353CC">
          <w:rPr>
            <w:rFonts w:ascii="Calibri" w:eastAsia="Times New Roman" w:hAnsi="Calibri" w:cs="Calibri"/>
            <w:color w:val="333333"/>
            <w:sz w:val="42"/>
            <w:szCs w:val="42"/>
            <w:u w:val="single"/>
            <w:lang w:eastAsia="en-ZA"/>
          </w:rPr>
          <w:t>FATF/Egmont Trade-Based Money Laundering: Trends and Developments</w:t>
        </w:r>
      </w:hyperlink>
    </w:p>
    <w:p w14:paraId="1F58F53F" w14:textId="77777777" w:rsidR="007353CC" w:rsidRPr="007353CC" w:rsidRDefault="007353CC" w:rsidP="007353CC">
      <w:pPr>
        <w:shd w:val="clear" w:color="auto" w:fill="FFFFFF"/>
        <w:spacing w:after="120" w:line="240" w:lineRule="auto"/>
        <w:ind w:left="2619" w:right="630"/>
        <w:rPr>
          <w:rFonts w:ascii="Calibri" w:eastAsia="Times New Roman" w:hAnsi="Calibri" w:cs="Calibri"/>
          <w:color w:val="5D7A88"/>
          <w:sz w:val="21"/>
          <w:szCs w:val="21"/>
          <w:lang w:eastAsia="en-ZA"/>
        </w:rPr>
      </w:pPr>
      <w:r w:rsidRPr="007353CC">
        <w:rPr>
          <w:rFonts w:ascii="Calibri" w:eastAsia="Times New Roman" w:hAnsi="Calibri" w:cs="Calibri"/>
          <w:color w:val="5D7A88"/>
          <w:sz w:val="21"/>
          <w:szCs w:val="21"/>
          <w:lang w:eastAsia="en-ZA"/>
        </w:rPr>
        <w:t>2 MB</w:t>
      </w:r>
    </w:p>
    <w:p w14:paraId="32C52E81" w14:textId="77777777" w:rsidR="007353CC" w:rsidRPr="007353CC" w:rsidRDefault="007353CC" w:rsidP="007353CC">
      <w:pPr>
        <w:shd w:val="clear" w:color="auto" w:fill="FFFFFF"/>
        <w:spacing w:after="0" w:line="240" w:lineRule="auto"/>
        <w:ind w:left="2619" w:right="630"/>
        <w:rPr>
          <w:rFonts w:ascii="Calibri" w:eastAsia="Times New Roman" w:hAnsi="Calibri" w:cs="Calibri"/>
          <w:caps/>
          <w:color w:val="5D7A88"/>
          <w:sz w:val="21"/>
          <w:szCs w:val="21"/>
          <w:lang w:eastAsia="en-ZA"/>
        </w:rPr>
      </w:pPr>
      <w:r w:rsidRPr="007353CC">
        <w:rPr>
          <w:rFonts w:ascii="Calibri" w:eastAsia="Times New Roman" w:hAnsi="Calibri" w:cs="Calibri"/>
          <w:caps/>
          <w:color w:val="5D7A88"/>
          <w:sz w:val="21"/>
          <w:szCs w:val="21"/>
          <w:lang w:eastAsia="en-ZA"/>
        </w:rPr>
        <w:t>APPLICATION/PDF</w:t>
      </w:r>
    </w:p>
    <w:p w14:paraId="5195E2AE" w14:textId="77777777" w:rsidR="007353CC" w:rsidRPr="007353CC" w:rsidRDefault="007353CC" w:rsidP="007353CC">
      <w:pPr>
        <w:shd w:val="clear" w:color="auto" w:fill="FFFFFF"/>
        <w:spacing w:after="120" w:line="240" w:lineRule="auto"/>
        <w:rPr>
          <w:rFonts w:ascii="Calibri" w:eastAsia="Times New Roman" w:hAnsi="Calibri" w:cs="Calibri"/>
          <w:color w:val="333333"/>
          <w:sz w:val="27"/>
          <w:szCs w:val="27"/>
          <w:lang w:eastAsia="en-ZA"/>
        </w:rPr>
      </w:pPr>
      <w:hyperlink r:id="rId30" w:history="1">
        <w:r w:rsidRPr="007353CC">
          <w:rPr>
            <w:rFonts w:ascii="Calibri" w:eastAsia="Times New Roman" w:hAnsi="Calibri" w:cs="Calibri"/>
            <w:color w:val="333333"/>
            <w:sz w:val="27"/>
            <w:szCs w:val="27"/>
            <w:bdr w:val="single" w:sz="12" w:space="6" w:color="267589" w:frame="1"/>
            <w:shd w:val="clear" w:color="auto" w:fill="FFFFFF"/>
            <w:lang w:eastAsia="en-ZA"/>
          </w:rPr>
          <w:t>Download</w:t>
        </w:r>
      </w:hyperlink>
    </w:p>
    <w:p w14:paraId="7E26028D" w14:textId="77777777" w:rsidR="007353CC" w:rsidRPr="007353CC" w:rsidRDefault="007353CC" w:rsidP="007353CC">
      <w:pPr>
        <w:shd w:val="clear" w:color="auto" w:fill="FFFFFF"/>
        <w:spacing w:after="0"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FATF/Egmont Trade-based Money Laundering: Trends and Developments</w:t>
      </w:r>
    </w:p>
    <w:p w14:paraId="133CD72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9 December 2020</w:t>
      </w:r>
      <w:r w:rsidRPr="007353CC">
        <w:rPr>
          <w:rFonts w:ascii="Calibri" w:eastAsia="Times New Roman" w:hAnsi="Calibri" w:cs="Calibri"/>
          <w:color w:val="333333"/>
          <w:sz w:val="27"/>
          <w:szCs w:val="27"/>
          <w:lang w:eastAsia="en-ZA"/>
        </w:rPr>
        <w:t xml:space="preserve"> – International trade networks can attract criminals and </w:t>
      </w:r>
      <w:proofErr w:type="gramStart"/>
      <w:r w:rsidRPr="007353CC">
        <w:rPr>
          <w:rFonts w:ascii="Calibri" w:eastAsia="Times New Roman" w:hAnsi="Calibri" w:cs="Calibri"/>
          <w:color w:val="333333"/>
          <w:sz w:val="27"/>
          <w:szCs w:val="27"/>
          <w:lang w:eastAsia="en-ZA"/>
        </w:rPr>
        <w:t>terrorists</w:t>
      </w:r>
      <w:proofErr w:type="gramEnd"/>
      <w:r w:rsidRPr="007353CC">
        <w:rPr>
          <w:rFonts w:ascii="Calibri" w:eastAsia="Times New Roman" w:hAnsi="Calibri" w:cs="Calibri"/>
          <w:color w:val="333333"/>
          <w:sz w:val="27"/>
          <w:szCs w:val="27"/>
          <w:lang w:eastAsia="en-ZA"/>
        </w:rPr>
        <w:t xml:space="preserve"> financiers who exploit the interconnected supply chains to launder the proceeds of crime or finance terrorism. Recognising trade-based money laundering is difficult, particularly when there is a lack of understanding of this technique.</w:t>
      </w:r>
    </w:p>
    <w:p w14:paraId="2016DDCB"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A new FATF-Egmont Group </w:t>
      </w:r>
      <w:hyperlink r:id="rId31" w:history="1">
        <w:r w:rsidRPr="007353CC">
          <w:rPr>
            <w:rFonts w:ascii="Calibri" w:eastAsia="Times New Roman" w:hAnsi="Calibri" w:cs="Calibri"/>
            <w:color w:val="267589"/>
            <w:sz w:val="24"/>
            <w:szCs w:val="24"/>
            <w:u w:val="single"/>
            <w:lang w:eastAsia="en-ZA"/>
          </w:rPr>
          <w:t>FATF/Egmont Trade-Based Money Laundering: Trends and Developments</w:t>
        </w:r>
      </w:hyperlink>
    </w:p>
    <w:p w14:paraId="28477A6E"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It highlights recommendations to address the trade-based money laundering risks. Countries should use national risk assessments and other risk-focused material to raise awareness with the public and private sector entities involved in international trade. These include financial intelligence units, customs agencies, law enforcement, financial institutions, transport companies, importers and exporters, accountants and auditors.</w:t>
      </w:r>
    </w:p>
    <w:p w14:paraId="5930A4F4"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report also recommends improving information-sharing of financial and trade data, and improving co-operation between authorities and private sector, including through public-private partnerships.</w:t>
      </w:r>
    </w:p>
    <w:p w14:paraId="3A34FA0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Given the diversity of tradable goods, the involvement of multiple parties, and the speed of trade transactions, trade-based money laundering remains a significant risk. This report aims to help public and private sector understand these risks so that they can </w:t>
      </w:r>
      <w:proofErr w:type="gramStart"/>
      <w:r w:rsidRPr="007353CC">
        <w:rPr>
          <w:rFonts w:ascii="Calibri" w:eastAsia="Times New Roman" w:hAnsi="Calibri" w:cs="Calibri"/>
          <w:color w:val="333333"/>
          <w:sz w:val="27"/>
          <w:szCs w:val="27"/>
          <w:lang w:eastAsia="en-ZA"/>
        </w:rPr>
        <w:t>take action</w:t>
      </w:r>
      <w:proofErr w:type="gramEnd"/>
      <w:r w:rsidRPr="007353CC">
        <w:rPr>
          <w:rFonts w:ascii="Calibri" w:eastAsia="Times New Roman" w:hAnsi="Calibri" w:cs="Calibri"/>
          <w:color w:val="333333"/>
          <w:sz w:val="27"/>
          <w:szCs w:val="27"/>
          <w:lang w:eastAsia="en-ZA"/>
        </w:rPr>
        <w:t xml:space="preserve"> when it occurs.</w:t>
      </w:r>
    </w:p>
    <w:p w14:paraId="1D69EDF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The FATF and the Egmont Group will continue to work together to develop risk indicators which will make it easier to recognise use of trade mechanisms for money laundering.</w:t>
      </w:r>
    </w:p>
    <w:p w14:paraId="03DBC2E7"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In brief</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411"/>
        <w:gridCol w:w="120"/>
        <w:gridCol w:w="120"/>
        <w:gridCol w:w="4375"/>
      </w:tblGrid>
      <w:tr w:rsidR="007353CC" w:rsidRPr="007353CC" w14:paraId="7BF87EAF" w14:textId="77777777" w:rsidTr="007353CC">
        <w:trPr>
          <w:tblCellSpacing w:w="15" w:type="dxa"/>
        </w:trPr>
        <w:tc>
          <w:tcPr>
            <w:tcW w:w="0" w:type="auto"/>
            <w:vAlign w:val="center"/>
            <w:hideMark/>
          </w:tcPr>
          <w:p w14:paraId="20D0D00B"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noProof/>
                <w:sz w:val="24"/>
                <w:szCs w:val="24"/>
                <w:lang w:eastAsia="en-ZA"/>
              </w:rPr>
              <w:drawing>
                <wp:inline distT="0" distB="0" distL="0" distR="0" wp14:anchorId="0E0C032A" wp14:editId="7DE223F7">
                  <wp:extent cx="1905000" cy="2697480"/>
                  <wp:effectExtent l="0" t="0" r="0" b="7620"/>
                  <wp:docPr id="10" name="Picture 1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ex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5C9EB59"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hyperlink r:id="rId33" w:history="1">
              <w:r w:rsidRPr="007353CC">
                <w:rPr>
                  <w:rFonts w:ascii="Times New Roman" w:eastAsia="Times New Roman" w:hAnsi="Times New Roman" w:cs="Times New Roman"/>
                  <w:color w:val="267589"/>
                  <w:sz w:val="24"/>
                  <w:szCs w:val="24"/>
                  <w:u w:val="single"/>
                  <w:lang w:eastAsia="en-ZA"/>
                </w:rPr>
                <w:t>Handout-Trade-Based-Money-Laundering-Private-Sector</w:t>
              </w:r>
            </w:hyperlink>
          </w:p>
        </w:tc>
        <w:tc>
          <w:tcPr>
            <w:tcW w:w="0" w:type="auto"/>
            <w:vAlign w:val="center"/>
            <w:hideMark/>
          </w:tcPr>
          <w:p w14:paraId="2E567566" w14:textId="77777777" w:rsidR="007353CC" w:rsidRPr="007353CC" w:rsidRDefault="007353CC" w:rsidP="007353CC">
            <w:pPr>
              <w:spacing w:after="0"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sz w:val="24"/>
                <w:szCs w:val="24"/>
                <w:lang w:eastAsia="en-ZA"/>
              </w:rPr>
              <w:t> </w:t>
            </w:r>
          </w:p>
        </w:tc>
        <w:tc>
          <w:tcPr>
            <w:tcW w:w="0" w:type="auto"/>
            <w:vAlign w:val="center"/>
            <w:hideMark/>
          </w:tcPr>
          <w:p w14:paraId="45E28925" w14:textId="77777777" w:rsidR="007353CC" w:rsidRPr="007353CC" w:rsidRDefault="007353CC" w:rsidP="007353CC">
            <w:pPr>
              <w:spacing w:after="0"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sz w:val="24"/>
                <w:szCs w:val="24"/>
                <w:lang w:eastAsia="en-ZA"/>
              </w:rPr>
              <w:t> </w:t>
            </w:r>
          </w:p>
        </w:tc>
        <w:tc>
          <w:tcPr>
            <w:tcW w:w="0" w:type="auto"/>
            <w:vAlign w:val="center"/>
            <w:hideMark/>
          </w:tcPr>
          <w:p w14:paraId="1EB42809"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r w:rsidRPr="007353CC">
              <w:rPr>
                <w:rFonts w:ascii="Times New Roman" w:eastAsia="Times New Roman" w:hAnsi="Times New Roman" w:cs="Times New Roman"/>
                <w:noProof/>
                <w:sz w:val="24"/>
                <w:szCs w:val="24"/>
                <w:lang w:eastAsia="en-ZA"/>
              </w:rPr>
              <w:drawing>
                <wp:inline distT="0" distB="0" distL="0" distR="0" wp14:anchorId="678AC665" wp14:editId="51EA00B5">
                  <wp:extent cx="1905000" cy="2697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05000" cy="2697480"/>
                          </a:xfrm>
                          <a:prstGeom prst="rect">
                            <a:avLst/>
                          </a:prstGeom>
                          <a:noFill/>
                          <a:ln>
                            <a:noFill/>
                          </a:ln>
                        </pic:spPr>
                      </pic:pic>
                    </a:graphicData>
                  </a:graphic>
                </wp:inline>
              </w:drawing>
            </w:r>
          </w:p>
          <w:p w14:paraId="0070A1B6" w14:textId="77777777" w:rsidR="007353CC" w:rsidRPr="007353CC" w:rsidRDefault="007353CC" w:rsidP="007353CC">
            <w:pPr>
              <w:spacing w:before="100" w:beforeAutospacing="1" w:after="100" w:afterAutospacing="1" w:line="240" w:lineRule="auto"/>
              <w:rPr>
                <w:rFonts w:ascii="Times New Roman" w:eastAsia="Times New Roman" w:hAnsi="Times New Roman" w:cs="Times New Roman"/>
                <w:sz w:val="24"/>
                <w:szCs w:val="24"/>
                <w:lang w:eastAsia="en-ZA"/>
              </w:rPr>
            </w:pPr>
            <w:hyperlink r:id="rId35" w:history="1">
              <w:r w:rsidRPr="007353CC">
                <w:rPr>
                  <w:rFonts w:ascii="Times New Roman" w:eastAsia="Times New Roman" w:hAnsi="Times New Roman" w:cs="Times New Roman"/>
                  <w:color w:val="267589"/>
                  <w:sz w:val="24"/>
                  <w:szCs w:val="24"/>
                  <w:u w:val="single"/>
                  <w:lang w:eastAsia="en-ZA"/>
                </w:rPr>
                <w:t>Handout-Trade-Based-Money-Laundering-Public-Sector</w:t>
              </w:r>
            </w:hyperlink>
          </w:p>
        </w:tc>
      </w:tr>
    </w:tbl>
    <w:p w14:paraId="09B26515"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 </w:t>
      </w:r>
    </w:p>
    <w:p w14:paraId="1BDC91E6"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 </w:t>
      </w:r>
    </w:p>
    <w:p w14:paraId="77D5F207"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65B2EFB3" w14:textId="77777777" w:rsidR="007353CC" w:rsidRPr="007353CC" w:rsidRDefault="007353CC" w:rsidP="007353CC">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 </w:t>
      </w:r>
    </w:p>
    <w:p w14:paraId="1CA29B4B"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252C49F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36" w:history="1">
        <w:r w:rsidRPr="007353CC">
          <w:rPr>
            <w:rFonts w:ascii="Calibri" w:eastAsia="Times New Roman" w:hAnsi="Calibri" w:cs="Calibri"/>
            <w:color w:val="267589"/>
            <w:sz w:val="27"/>
            <w:szCs w:val="27"/>
            <w:u w:val="single"/>
            <w:lang w:eastAsia="en-ZA"/>
          </w:rPr>
          <w:t xml:space="preserve">Opening remarks at Trade-Based Money Laundering Press </w:t>
        </w:r>
        <w:proofErr w:type="spellStart"/>
        <w:r w:rsidRPr="007353CC">
          <w:rPr>
            <w:rFonts w:ascii="Calibri" w:eastAsia="Times New Roman" w:hAnsi="Calibri" w:cs="Calibri"/>
            <w:color w:val="267589"/>
            <w:sz w:val="27"/>
            <w:szCs w:val="27"/>
            <w:u w:val="single"/>
            <w:lang w:eastAsia="en-ZA"/>
          </w:rPr>
          <w:t>Conference</w:t>
        </w:r>
      </w:hyperlink>
      <w:r w:rsidRPr="007353CC">
        <w:rPr>
          <w:rFonts w:ascii="Calibri" w:eastAsia="Times New Roman" w:hAnsi="Calibri" w:cs="Calibri"/>
          <w:color w:val="333333"/>
          <w:sz w:val="27"/>
          <w:szCs w:val="27"/>
          <w:lang w:eastAsia="en-ZA"/>
        </w:rPr>
        <w:t>on</w:t>
      </w:r>
      <w:proofErr w:type="spellEnd"/>
      <w:r w:rsidRPr="007353CC">
        <w:rPr>
          <w:rFonts w:ascii="Calibri" w:eastAsia="Times New Roman" w:hAnsi="Calibri" w:cs="Calibri"/>
          <w:color w:val="333333"/>
          <w:sz w:val="27"/>
          <w:szCs w:val="27"/>
          <w:lang w:eastAsia="en-ZA"/>
        </w:rPr>
        <w:t xml:space="preserve"> the launch of the FATF-Egmont Group Report on Trade-Based Money Laundering</w:t>
      </w:r>
    </w:p>
    <w:p w14:paraId="2F1F3C2A"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b/>
          <w:bCs/>
          <w:color w:val="333333"/>
          <w:sz w:val="27"/>
          <w:szCs w:val="27"/>
          <w:lang w:eastAsia="en-ZA"/>
        </w:rPr>
        <w:t>Watch the press conference below: </w:t>
      </w:r>
    </w:p>
    <w:p w14:paraId="5C53D526"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1724EDF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r w:rsidRPr="007353CC">
        <w:rPr>
          <w:rFonts w:ascii="Calibri" w:eastAsia="Times New Roman" w:hAnsi="Calibri" w:cs="Calibri"/>
          <w:color w:val="333333"/>
          <w:sz w:val="27"/>
          <w:szCs w:val="27"/>
          <w:highlight w:val="yellow"/>
          <w:lang w:eastAsia="en-ZA"/>
        </w:rPr>
        <w:t>Egmont Group of Financial Intelligence Units</w:t>
      </w:r>
    </w:p>
    <w:p w14:paraId="7ECB054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hyperlink r:id="rId37" w:history="1">
        <w:r w:rsidRPr="007353CC">
          <w:rPr>
            <w:rFonts w:ascii="Calibri" w:eastAsia="Times New Roman" w:hAnsi="Calibri" w:cs="Calibri"/>
            <w:color w:val="267589"/>
            <w:sz w:val="27"/>
            <w:szCs w:val="27"/>
            <w:highlight w:val="yellow"/>
            <w:u w:val="single"/>
            <w:lang w:eastAsia="en-ZA"/>
          </w:rPr>
          <w:t>Trade-based money laundering typologies</w:t>
        </w:r>
      </w:hyperlink>
      <w:r w:rsidRPr="007353CC">
        <w:rPr>
          <w:rFonts w:ascii="Calibri" w:eastAsia="Times New Roman" w:hAnsi="Calibri" w:cs="Calibri"/>
          <w:color w:val="333333"/>
          <w:sz w:val="27"/>
          <w:szCs w:val="27"/>
          <w:highlight w:val="yellow"/>
          <w:lang w:eastAsia="en-ZA"/>
        </w:rPr>
        <w:t>, 2012</w:t>
      </w:r>
    </w:p>
    <w:p w14:paraId="4D969D75"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highlight w:val="yellow"/>
          <w:lang w:eastAsia="en-ZA"/>
        </w:rPr>
      </w:pPr>
      <w:hyperlink r:id="rId38" w:history="1">
        <w:r w:rsidRPr="007353CC">
          <w:rPr>
            <w:rFonts w:ascii="Calibri" w:eastAsia="Times New Roman" w:hAnsi="Calibri" w:cs="Calibri"/>
            <w:color w:val="267589"/>
            <w:sz w:val="27"/>
            <w:szCs w:val="27"/>
            <w:highlight w:val="yellow"/>
            <w:u w:val="single"/>
            <w:lang w:eastAsia="en-ZA"/>
          </w:rPr>
          <w:t>Best Practices on Trade Based Money Laundering</w:t>
        </w:r>
      </w:hyperlink>
      <w:r w:rsidRPr="007353CC">
        <w:rPr>
          <w:rFonts w:ascii="Calibri" w:eastAsia="Times New Roman" w:hAnsi="Calibri" w:cs="Calibri"/>
          <w:color w:val="333333"/>
          <w:sz w:val="27"/>
          <w:szCs w:val="27"/>
          <w:highlight w:val="yellow"/>
          <w:lang w:eastAsia="en-ZA"/>
        </w:rPr>
        <w:t>, 2008</w:t>
      </w:r>
    </w:p>
    <w:p w14:paraId="2623668D"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39" w:history="1">
        <w:r w:rsidRPr="007353CC">
          <w:rPr>
            <w:rFonts w:ascii="Calibri" w:eastAsia="Times New Roman" w:hAnsi="Calibri" w:cs="Calibri"/>
            <w:color w:val="267589"/>
            <w:sz w:val="27"/>
            <w:szCs w:val="27"/>
            <w:highlight w:val="yellow"/>
            <w:u w:val="single"/>
            <w:lang w:eastAsia="en-ZA"/>
          </w:rPr>
          <w:t>Trade-Based Money Laundering</w:t>
        </w:r>
      </w:hyperlink>
      <w:r w:rsidRPr="007353CC">
        <w:rPr>
          <w:rFonts w:ascii="Calibri" w:eastAsia="Times New Roman" w:hAnsi="Calibri" w:cs="Calibri"/>
          <w:color w:val="333333"/>
          <w:sz w:val="27"/>
          <w:szCs w:val="27"/>
          <w:highlight w:val="yellow"/>
          <w:lang w:eastAsia="en-ZA"/>
        </w:rPr>
        <w:t>, 2006</w:t>
      </w:r>
    </w:p>
    <w:p w14:paraId="43EBA6FD" w14:textId="77777777" w:rsidR="007353CC" w:rsidRPr="0087489D" w:rsidRDefault="007353CC" w:rsidP="0087489D">
      <w:pPr>
        <w:pBdr>
          <w:top w:val="single" w:sz="2" w:space="0" w:color="E5E7EB"/>
          <w:left w:val="single" w:sz="2" w:space="0" w:color="E5E7EB"/>
          <w:bottom w:val="single" w:sz="2" w:space="0" w:color="E5E7EB"/>
          <w:right w:val="single" w:sz="2" w:space="0" w:color="E5E7EB"/>
        </w:pBdr>
        <w:spacing w:before="100" w:beforeAutospacing="1" w:after="100" w:afterAutospacing="1" w:line="480" w:lineRule="atLeast"/>
        <w:rPr>
          <w:rFonts w:ascii="var(--primary-font)" w:eastAsia="Times New Roman" w:hAnsi="var(--primary-font)" w:cs="Arial"/>
          <w:color w:val="14054D"/>
          <w:sz w:val="30"/>
          <w:szCs w:val="30"/>
          <w:bdr w:val="single" w:sz="2" w:space="0" w:color="E5E7EB" w:frame="1"/>
          <w:lang w:eastAsia="en-ZA"/>
        </w:rPr>
      </w:pPr>
    </w:p>
    <w:p w14:paraId="539BED2C" w14:textId="0360E781" w:rsidR="0087489D" w:rsidRPr="0087489D" w:rsidRDefault="0087489D" w:rsidP="0087489D">
      <w:pPr>
        <w:shd w:val="clear" w:color="auto" w:fill="4F9EB2"/>
        <w:spacing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267589"/>
          <w:sz w:val="27"/>
          <w:szCs w:val="27"/>
          <w:lang w:eastAsia="en-ZA"/>
        </w:rPr>
        <w:drawing>
          <wp:inline distT="0" distB="0" distL="0" distR="0" wp14:anchorId="6F969282" wp14:editId="7E7F826E">
            <wp:extent cx="800100" cy="1417320"/>
            <wp:effectExtent l="0" t="0" r="0" b="0"/>
            <wp:docPr id="1" name="Picture 1" descr="FATF logo">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TF logo">
                      <a:hlinkClick r:id="rId21"/>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1FE6813C"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267589"/>
          <w:sz w:val="27"/>
          <w:szCs w:val="27"/>
          <w:lang w:eastAsia="en-ZA"/>
        </w:rPr>
        <w:drawing>
          <wp:inline distT="0" distB="0" distL="0" distR="0" wp14:anchorId="7CBBA3E1" wp14:editId="458ADA8F">
            <wp:extent cx="304800" cy="304800"/>
            <wp:effectExtent l="0" t="0" r="0" b="0"/>
            <wp:docPr id="2" name="Picture 2"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68F8A2E0"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5D7A88"/>
          <w:sz w:val="27"/>
          <w:szCs w:val="27"/>
          <w:lang w:eastAsia="en-ZA"/>
        </w:rPr>
        <w:t>English</w:t>
      </w:r>
    </w:p>
    <w:p w14:paraId="28DADABB" w14:textId="77777777" w:rsidR="0087489D" w:rsidRPr="0087489D" w:rsidRDefault="0087489D" w:rsidP="0087489D">
      <w:pPr>
        <w:shd w:val="clear" w:color="auto" w:fill="4F9EB2"/>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xml:space="preserve">The </w:t>
      </w:r>
      <w:proofErr w:type="spellStart"/>
      <w:r w:rsidRPr="0087489D">
        <w:rPr>
          <w:rFonts w:ascii="Calibri" w:eastAsia="Times New Roman" w:hAnsi="Calibri" w:cs="Calibri"/>
          <w:color w:val="333333"/>
          <w:sz w:val="27"/>
          <w:szCs w:val="27"/>
          <w:lang w:eastAsia="en-ZA"/>
        </w:rPr>
        <w:t>FATFCountriesPublicationsTopicsCalendars</w:t>
      </w:r>
      <w:proofErr w:type="spellEnd"/>
    </w:p>
    <w:p w14:paraId="6F05FA51"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40" w:history="1">
        <w:r w:rsidRPr="0087489D">
          <w:rPr>
            <w:rFonts w:ascii="Calibri" w:eastAsia="Times New Roman" w:hAnsi="Calibri" w:cs="Calibri"/>
            <w:color w:val="5D7A88"/>
            <w:sz w:val="24"/>
            <w:szCs w:val="24"/>
            <w:u w:val="single"/>
            <w:lang w:eastAsia="en-ZA"/>
          </w:rPr>
          <w:t>Home </w:t>
        </w:r>
      </w:hyperlink>
    </w:p>
    <w:p w14:paraId="5360F314"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w:t>
      </w:r>
    </w:p>
    <w:p w14:paraId="495A37A2"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41" w:history="1">
        <w:r w:rsidRPr="0087489D">
          <w:rPr>
            <w:rFonts w:ascii="Calibri" w:eastAsia="Times New Roman" w:hAnsi="Calibri" w:cs="Calibri"/>
            <w:color w:val="5D7A88"/>
            <w:sz w:val="24"/>
            <w:szCs w:val="24"/>
            <w:u w:val="single"/>
            <w:lang w:eastAsia="en-ZA"/>
          </w:rPr>
          <w:t>Publications </w:t>
        </w:r>
      </w:hyperlink>
    </w:p>
    <w:p w14:paraId="251514E0"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w:t>
      </w:r>
    </w:p>
    <w:p w14:paraId="34CE92BE" w14:textId="77777777" w:rsidR="0087489D" w:rsidRPr="0087489D" w:rsidRDefault="0087489D" w:rsidP="0087489D">
      <w:pPr>
        <w:numPr>
          <w:ilvl w:val="0"/>
          <w:numId w:val="8"/>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87489D">
        <w:rPr>
          <w:rFonts w:ascii="Calibri" w:eastAsia="Times New Roman" w:hAnsi="Calibri" w:cs="Calibri"/>
          <w:b/>
          <w:bCs/>
          <w:color w:val="333333"/>
          <w:sz w:val="27"/>
          <w:szCs w:val="27"/>
          <w:lang w:eastAsia="en-ZA"/>
        </w:rPr>
        <w:t>Trade-based money laundering typologies</w:t>
      </w:r>
    </w:p>
    <w:p w14:paraId="73E053CB" w14:textId="77777777" w:rsidR="0087489D" w:rsidRPr="0087489D" w:rsidRDefault="0087489D" w:rsidP="0087489D">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87489D">
        <w:rPr>
          <w:rFonts w:ascii="Calibri" w:eastAsia="Times New Roman" w:hAnsi="Calibri" w:cs="Calibri"/>
          <w:b/>
          <w:bCs/>
          <w:color w:val="333333"/>
          <w:kern w:val="36"/>
          <w:sz w:val="66"/>
          <w:szCs w:val="66"/>
          <w:lang w:eastAsia="en-ZA"/>
        </w:rPr>
        <w:t>Trade-based money laundering typologies</w:t>
      </w:r>
    </w:p>
    <w:p w14:paraId="7FFB8B9A" w14:textId="77777777" w:rsidR="0087489D" w:rsidRPr="0087489D" w:rsidRDefault="0087489D" w:rsidP="0087489D">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87489D">
        <w:rPr>
          <w:rFonts w:ascii="Calibri" w:eastAsia="Times New Roman" w:hAnsi="Calibri" w:cs="Calibri"/>
          <w:b/>
          <w:bCs/>
          <w:color w:val="333333"/>
          <w:sz w:val="33"/>
          <w:szCs w:val="33"/>
          <w:lang w:eastAsia="en-ZA"/>
        </w:rPr>
        <w:t>Publication details</w:t>
      </w:r>
    </w:p>
    <w:p w14:paraId="702792B2"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Language</w:t>
      </w:r>
    </w:p>
    <w:p w14:paraId="3933AB54"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English</w:t>
      </w:r>
    </w:p>
    <w:p w14:paraId="0E408851"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Country</w:t>
      </w:r>
    </w:p>
    <w:p w14:paraId="5CBA33E3"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Topic</w:t>
      </w:r>
    </w:p>
    <w:p w14:paraId="6E656899"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Methods and Trends</w:t>
      </w:r>
    </w:p>
    <w:p w14:paraId="436AAD51"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333333"/>
          <w:sz w:val="27"/>
          <w:szCs w:val="27"/>
          <w:lang w:eastAsia="en-ZA"/>
        </w:rPr>
        <w:drawing>
          <wp:inline distT="0" distB="0" distL="0" distR="0" wp14:anchorId="7AEF8879" wp14:editId="525372B5">
            <wp:extent cx="1905000" cy="2484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0" cy="2484120"/>
                    </a:xfrm>
                    <a:prstGeom prst="rect">
                      <a:avLst/>
                    </a:prstGeom>
                    <a:noFill/>
                    <a:ln>
                      <a:noFill/>
                    </a:ln>
                  </pic:spPr>
                </pic:pic>
              </a:graphicData>
            </a:graphic>
          </wp:inline>
        </w:drawing>
      </w:r>
    </w:p>
    <w:p w14:paraId="6E87E074" w14:textId="77777777" w:rsidR="0087489D" w:rsidRPr="0087489D" w:rsidRDefault="0087489D" w:rsidP="0087489D">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43" w:history="1">
        <w:r w:rsidRPr="0087489D">
          <w:rPr>
            <w:rFonts w:ascii="Calibri" w:eastAsia="Times New Roman" w:hAnsi="Calibri" w:cs="Calibri"/>
            <w:color w:val="333333"/>
            <w:sz w:val="42"/>
            <w:szCs w:val="42"/>
            <w:u w:val="single"/>
            <w:lang w:eastAsia="en-ZA"/>
          </w:rPr>
          <w:t>APG Trade-Based Money Laundering Report</w:t>
        </w:r>
      </w:hyperlink>
    </w:p>
    <w:p w14:paraId="6DBAAEC9" w14:textId="77777777" w:rsidR="0087489D" w:rsidRPr="0087489D" w:rsidRDefault="0087489D" w:rsidP="0087489D">
      <w:pPr>
        <w:shd w:val="clear" w:color="auto" w:fill="FFFFFF"/>
        <w:spacing w:after="120" w:line="240" w:lineRule="auto"/>
        <w:ind w:left="2619" w:right="630"/>
        <w:rPr>
          <w:rFonts w:ascii="Calibri" w:eastAsia="Times New Roman" w:hAnsi="Calibri" w:cs="Calibri"/>
          <w:color w:val="5D7A88"/>
          <w:sz w:val="21"/>
          <w:szCs w:val="21"/>
          <w:lang w:eastAsia="en-ZA"/>
        </w:rPr>
      </w:pPr>
      <w:r w:rsidRPr="0087489D">
        <w:rPr>
          <w:rFonts w:ascii="Calibri" w:eastAsia="Times New Roman" w:hAnsi="Calibri" w:cs="Calibri"/>
          <w:color w:val="5D7A88"/>
          <w:sz w:val="21"/>
          <w:szCs w:val="21"/>
          <w:lang w:eastAsia="en-ZA"/>
        </w:rPr>
        <w:t>761 KB</w:t>
      </w:r>
    </w:p>
    <w:p w14:paraId="2DD03D8C" w14:textId="77777777" w:rsidR="0087489D" w:rsidRPr="0087489D" w:rsidRDefault="0087489D" w:rsidP="0087489D">
      <w:pPr>
        <w:shd w:val="clear" w:color="auto" w:fill="FFFFFF"/>
        <w:spacing w:after="0" w:line="240" w:lineRule="auto"/>
        <w:ind w:left="2619" w:right="630"/>
        <w:rPr>
          <w:rFonts w:ascii="Calibri" w:eastAsia="Times New Roman" w:hAnsi="Calibri" w:cs="Calibri"/>
          <w:caps/>
          <w:color w:val="5D7A88"/>
          <w:sz w:val="21"/>
          <w:szCs w:val="21"/>
          <w:lang w:eastAsia="en-ZA"/>
        </w:rPr>
      </w:pPr>
      <w:r w:rsidRPr="0087489D">
        <w:rPr>
          <w:rFonts w:ascii="Calibri" w:eastAsia="Times New Roman" w:hAnsi="Calibri" w:cs="Calibri"/>
          <w:caps/>
          <w:color w:val="5D7A88"/>
          <w:sz w:val="21"/>
          <w:szCs w:val="21"/>
          <w:lang w:eastAsia="en-ZA"/>
        </w:rPr>
        <w:t>APPLICATION/PDF</w:t>
      </w:r>
    </w:p>
    <w:p w14:paraId="28D5E653" w14:textId="77777777" w:rsidR="0087489D" w:rsidRPr="0087489D" w:rsidRDefault="0087489D" w:rsidP="0087489D">
      <w:pPr>
        <w:shd w:val="clear" w:color="auto" w:fill="FFFFFF"/>
        <w:spacing w:after="120" w:line="240" w:lineRule="auto"/>
        <w:rPr>
          <w:rFonts w:ascii="Calibri" w:eastAsia="Times New Roman" w:hAnsi="Calibri" w:cs="Calibri"/>
          <w:color w:val="333333"/>
          <w:sz w:val="27"/>
          <w:szCs w:val="27"/>
          <w:lang w:eastAsia="en-ZA"/>
        </w:rPr>
      </w:pPr>
      <w:hyperlink r:id="rId44" w:history="1">
        <w:r w:rsidRPr="0087489D">
          <w:rPr>
            <w:rFonts w:ascii="Calibri" w:eastAsia="Times New Roman" w:hAnsi="Calibri" w:cs="Calibri"/>
            <w:color w:val="333333"/>
            <w:sz w:val="27"/>
            <w:szCs w:val="27"/>
            <w:bdr w:val="single" w:sz="12" w:space="6" w:color="267589" w:frame="1"/>
            <w:shd w:val="clear" w:color="auto" w:fill="FFFFFF"/>
            <w:lang w:eastAsia="en-ZA"/>
          </w:rPr>
          <w:t>Download</w:t>
        </w:r>
      </w:hyperlink>
    </w:p>
    <w:p w14:paraId="30F1B60D" w14:textId="77777777" w:rsidR="0087489D" w:rsidRPr="0087489D" w:rsidRDefault="0087489D" w:rsidP="0087489D">
      <w:pPr>
        <w:shd w:val="clear" w:color="auto" w:fill="FFFFFF"/>
        <w:spacing w:after="0" w:line="240" w:lineRule="auto"/>
        <w:outlineLvl w:val="2"/>
        <w:rPr>
          <w:rFonts w:ascii="Calibri" w:eastAsia="Times New Roman" w:hAnsi="Calibri" w:cs="Calibri"/>
          <w:b/>
          <w:bCs/>
          <w:color w:val="333333"/>
          <w:sz w:val="42"/>
          <w:szCs w:val="42"/>
          <w:lang w:eastAsia="en-ZA"/>
        </w:rPr>
      </w:pPr>
      <w:r w:rsidRPr="0087489D">
        <w:rPr>
          <w:rFonts w:ascii="Calibri" w:eastAsia="Times New Roman" w:hAnsi="Calibri" w:cs="Calibri"/>
          <w:b/>
          <w:bCs/>
          <w:color w:val="333333"/>
          <w:sz w:val="42"/>
          <w:szCs w:val="42"/>
          <w:lang w:eastAsia="en-ZA"/>
        </w:rPr>
        <w:t>Trade-based money laundering typologies</w:t>
      </w:r>
    </w:p>
    <w:p w14:paraId="43E1D78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rapid growth in the global economy has made international trade an increasingly attractive avenue to move illicit funds through financial transactions associated with the trade in goods and services. Trade-based money laundering (TBML) is a complex phenomenon since its constituent elements cut across not only sectoral boundaries but also national borders. The dynamic environment of international trade allows TBML to take multiple forms.</w:t>
      </w:r>
    </w:p>
    <w:p w14:paraId="4A1648D5"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In 2006 the FATF released the report entitled </w:t>
      </w:r>
      <w:r w:rsidRPr="0087489D">
        <w:rPr>
          <w:rFonts w:ascii="Calibri" w:eastAsia="Times New Roman" w:hAnsi="Calibri" w:cs="Calibri"/>
          <w:i/>
          <w:iCs/>
          <w:color w:val="333333"/>
          <w:sz w:val="27"/>
          <w:szCs w:val="27"/>
          <w:lang w:eastAsia="en-ZA"/>
        </w:rPr>
        <w:t>Trade-Based Money Laundering</w:t>
      </w:r>
      <w:r w:rsidRPr="0087489D">
        <w:rPr>
          <w:rFonts w:ascii="Calibri" w:eastAsia="Times New Roman" w:hAnsi="Calibri" w:cs="Calibri"/>
          <w:color w:val="333333"/>
          <w:sz w:val="27"/>
          <w:szCs w:val="27"/>
          <w:lang w:eastAsia="en-ZA"/>
        </w:rPr>
        <w:t> (TBML), in which it identified the three major methods used by criminal organisations and terrorist financers to move money for the purpose of disguising its origins and integrating it into the formal economy.</w:t>
      </w:r>
    </w:p>
    <w:p w14:paraId="53F4F7B5"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b/>
          <w:bCs/>
          <w:color w:val="FF0000"/>
          <w:sz w:val="27"/>
          <w:szCs w:val="27"/>
          <w:lang w:eastAsia="en-ZA"/>
        </w:rPr>
        <w:t>The </w:t>
      </w:r>
      <w:r w:rsidRPr="0087489D">
        <w:rPr>
          <w:rFonts w:ascii="Calibri" w:eastAsia="Times New Roman" w:hAnsi="Calibri" w:cs="Calibri"/>
          <w:b/>
          <w:bCs/>
          <w:i/>
          <w:iCs/>
          <w:color w:val="FF0000"/>
          <w:sz w:val="27"/>
          <w:szCs w:val="27"/>
          <w:lang w:eastAsia="en-ZA"/>
        </w:rPr>
        <w:t>Asia/Pacific Group (APG) Typologies Report on Trade-Based Money Laundering</w:t>
      </w:r>
      <w:r w:rsidRPr="0087489D">
        <w:rPr>
          <w:rFonts w:ascii="Calibri" w:eastAsia="Times New Roman" w:hAnsi="Calibri" w:cs="Calibri"/>
          <w:b/>
          <w:bCs/>
          <w:color w:val="FF0000"/>
          <w:sz w:val="27"/>
          <w:szCs w:val="27"/>
          <w:lang w:eastAsia="en-ZA"/>
        </w:rPr>
        <w:t> </w:t>
      </w:r>
      <w:r w:rsidRPr="0087489D">
        <w:rPr>
          <w:rFonts w:ascii="Calibri" w:eastAsia="Times New Roman" w:hAnsi="Calibri" w:cs="Calibri"/>
          <w:color w:val="333333"/>
          <w:sz w:val="27"/>
          <w:szCs w:val="27"/>
          <w:lang w:eastAsia="en-ZA"/>
        </w:rPr>
        <w:t>aims to update and extend the FATF study to identify current methods and techniques as well as to consider why so few TBML case investigations or prosecutions have been undertaken since the 2006 report.</w:t>
      </w:r>
    </w:p>
    <w:p w14:paraId="77CFBCE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APG report studies the extent of prevalence of TBML and highlights methods, techniques and modus operandi for TBML and identifies red flags to detect and respond to TBML. </w:t>
      </w:r>
    </w:p>
    <w:p w14:paraId="778F0E88" w14:textId="77777777" w:rsidR="0087489D" w:rsidRPr="0087489D" w:rsidRDefault="0087489D" w:rsidP="0087489D">
      <w:pPr>
        <w:shd w:val="clear" w:color="auto" w:fill="FFFFFF"/>
        <w:spacing w:before="100" w:beforeAutospacing="1" w:after="100" w:afterAutospacing="1" w:line="240" w:lineRule="auto"/>
        <w:jc w:val="both"/>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For more information about this report, please contact the APG Secretariat at : </w:t>
      </w:r>
      <w:hyperlink r:id="rId45" w:history="1">
        <w:r w:rsidRPr="0087489D">
          <w:rPr>
            <w:rFonts w:ascii="Calibri" w:eastAsia="Times New Roman" w:hAnsi="Calibri" w:cs="Calibri"/>
            <w:color w:val="267589"/>
            <w:sz w:val="24"/>
            <w:szCs w:val="24"/>
            <w:u w:val="single"/>
            <w:lang w:eastAsia="en-ZA"/>
          </w:rPr>
          <w:t>mail@apgml.org</w:t>
        </w:r>
      </w:hyperlink>
      <w:r w:rsidRPr="0087489D">
        <w:rPr>
          <w:rFonts w:ascii="Calibri" w:eastAsia="Times New Roman" w:hAnsi="Calibri" w:cs="Calibri"/>
          <w:color w:val="333333"/>
          <w:sz w:val="27"/>
          <w:szCs w:val="27"/>
          <w:lang w:eastAsia="en-ZA"/>
        </w:rPr>
        <w:t>. </w:t>
      </w:r>
    </w:p>
    <w:p w14:paraId="462D7A28"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See also: </w:t>
      </w:r>
    </w:p>
    <w:p w14:paraId="59B42905"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46" w:history="1">
        <w:r w:rsidRPr="0087489D">
          <w:rPr>
            <w:rFonts w:ascii="Calibri" w:eastAsia="Times New Roman" w:hAnsi="Calibri" w:cs="Calibri"/>
            <w:color w:val="267589"/>
            <w:sz w:val="24"/>
            <w:szCs w:val="24"/>
            <w:u w:val="single"/>
            <w:lang w:eastAsia="en-ZA"/>
          </w:rPr>
          <w:t>Trade-Based Money Laundering</w:t>
        </w:r>
      </w:hyperlink>
      <w:r w:rsidRPr="0087489D">
        <w:rPr>
          <w:rFonts w:ascii="Calibri" w:eastAsia="Times New Roman" w:hAnsi="Calibri" w:cs="Calibri"/>
          <w:color w:val="333333"/>
          <w:sz w:val="27"/>
          <w:szCs w:val="27"/>
          <w:lang w:eastAsia="en-ZA"/>
        </w:rPr>
        <w:t>, report published by the FATF.</w:t>
      </w:r>
    </w:p>
    <w:p w14:paraId="38F40AB9" w14:textId="0CD63D0A" w:rsidR="00144B57" w:rsidRDefault="00144B57"/>
    <w:p w14:paraId="30E30661" w14:textId="77777777" w:rsidR="0087489D" w:rsidRPr="0087489D" w:rsidRDefault="0087489D" w:rsidP="0087489D">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87489D">
        <w:rPr>
          <w:rFonts w:ascii="Calibri" w:eastAsia="Times New Roman" w:hAnsi="Calibri" w:cs="Calibri"/>
          <w:b/>
          <w:bCs/>
          <w:color w:val="333333"/>
          <w:kern w:val="36"/>
          <w:sz w:val="66"/>
          <w:szCs w:val="66"/>
          <w:lang w:eastAsia="en-ZA"/>
        </w:rPr>
        <w:t>Trade-Based Money Laundering</w:t>
      </w:r>
    </w:p>
    <w:p w14:paraId="10787BBA" w14:textId="77777777" w:rsidR="0087489D" w:rsidRPr="0087489D" w:rsidRDefault="0087489D" w:rsidP="0087489D">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87489D">
        <w:rPr>
          <w:rFonts w:ascii="Calibri" w:eastAsia="Times New Roman" w:hAnsi="Calibri" w:cs="Calibri"/>
          <w:b/>
          <w:bCs/>
          <w:color w:val="333333"/>
          <w:sz w:val="33"/>
          <w:szCs w:val="33"/>
          <w:lang w:eastAsia="en-ZA"/>
        </w:rPr>
        <w:t>Publication details</w:t>
      </w:r>
    </w:p>
    <w:p w14:paraId="792F4E4B"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Language</w:t>
      </w:r>
    </w:p>
    <w:p w14:paraId="26DB92E3"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English</w:t>
      </w:r>
    </w:p>
    <w:p w14:paraId="509EE575"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Country</w:t>
      </w:r>
    </w:p>
    <w:p w14:paraId="7AD58EEB" w14:textId="77777777" w:rsidR="0087489D" w:rsidRPr="0087489D" w:rsidRDefault="0087489D" w:rsidP="0087489D">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87489D">
        <w:rPr>
          <w:rFonts w:ascii="Calibri" w:eastAsia="Times New Roman" w:hAnsi="Calibri" w:cs="Calibri"/>
          <w:b/>
          <w:bCs/>
          <w:color w:val="333333"/>
          <w:sz w:val="24"/>
          <w:szCs w:val="24"/>
          <w:lang w:eastAsia="en-ZA"/>
        </w:rPr>
        <w:t>Topic</w:t>
      </w:r>
    </w:p>
    <w:p w14:paraId="6DD8D045" w14:textId="77777777" w:rsidR="0087489D" w:rsidRPr="0087489D" w:rsidRDefault="0087489D" w:rsidP="0087489D">
      <w:pPr>
        <w:shd w:val="clear" w:color="auto" w:fill="FFFFFF"/>
        <w:spacing w:after="0" w:line="240" w:lineRule="auto"/>
        <w:jc w:val="right"/>
        <w:rPr>
          <w:rFonts w:ascii="Calibri" w:eastAsia="Times New Roman" w:hAnsi="Calibri" w:cs="Calibri"/>
          <w:color w:val="333333"/>
          <w:sz w:val="21"/>
          <w:szCs w:val="21"/>
          <w:lang w:eastAsia="en-ZA"/>
        </w:rPr>
      </w:pPr>
      <w:r w:rsidRPr="0087489D">
        <w:rPr>
          <w:rFonts w:ascii="Calibri" w:eastAsia="Times New Roman" w:hAnsi="Calibri" w:cs="Calibri"/>
          <w:color w:val="333333"/>
          <w:sz w:val="21"/>
          <w:szCs w:val="21"/>
          <w:lang w:eastAsia="en-ZA"/>
        </w:rPr>
        <w:t>Methods and Trends</w:t>
      </w:r>
    </w:p>
    <w:p w14:paraId="31BACD7F" w14:textId="77777777" w:rsidR="0087489D" w:rsidRPr="0087489D" w:rsidRDefault="0087489D" w:rsidP="0087489D">
      <w:pPr>
        <w:shd w:val="clear" w:color="auto" w:fill="FFFFFF"/>
        <w:spacing w:after="0" w:line="240" w:lineRule="auto"/>
        <w:rPr>
          <w:rFonts w:ascii="Calibri" w:eastAsia="Times New Roman" w:hAnsi="Calibri" w:cs="Calibri"/>
          <w:color w:val="333333"/>
          <w:sz w:val="27"/>
          <w:szCs w:val="27"/>
          <w:lang w:eastAsia="en-ZA"/>
        </w:rPr>
      </w:pPr>
      <w:r w:rsidRPr="0087489D">
        <w:rPr>
          <w:rFonts w:ascii="Calibri" w:eastAsia="Times New Roman" w:hAnsi="Calibri" w:cs="Calibri"/>
          <w:noProof/>
          <w:color w:val="333333"/>
          <w:sz w:val="27"/>
          <w:szCs w:val="27"/>
          <w:lang w:eastAsia="en-ZA"/>
        </w:rPr>
        <w:drawing>
          <wp:inline distT="0" distB="0" distL="0" distR="0" wp14:anchorId="45A0D289" wp14:editId="45B9B367">
            <wp:extent cx="1714500" cy="24612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14500" cy="2461260"/>
                    </a:xfrm>
                    <a:prstGeom prst="rect">
                      <a:avLst/>
                    </a:prstGeom>
                    <a:noFill/>
                    <a:ln>
                      <a:noFill/>
                    </a:ln>
                  </pic:spPr>
                </pic:pic>
              </a:graphicData>
            </a:graphic>
          </wp:inline>
        </w:drawing>
      </w:r>
    </w:p>
    <w:p w14:paraId="666A404D" w14:textId="77777777" w:rsidR="0087489D" w:rsidRPr="0087489D" w:rsidRDefault="0087489D" w:rsidP="0087489D">
      <w:pPr>
        <w:shd w:val="clear" w:color="auto" w:fill="FFFFFF"/>
        <w:spacing w:before="100" w:beforeAutospacing="1" w:after="100" w:afterAutospacing="1" w:line="240" w:lineRule="auto"/>
        <w:outlineLvl w:val="2"/>
        <w:rPr>
          <w:rFonts w:ascii="Calibri" w:eastAsia="Times New Roman" w:hAnsi="Calibri" w:cs="Calibri"/>
          <w:b/>
          <w:bCs/>
          <w:color w:val="333333"/>
          <w:sz w:val="42"/>
          <w:szCs w:val="42"/>
          <w:lang w:eastAsia="en-ZA"/>
        </w:rPr>
      </w:pPr>
      <w:hyperlink r:id="rId48" w:history="1">
        <w:r w:rsidRPr="0087489D">
          <w:rPr>
            <w:rFonts w:ascii="Calibri" w:eastAsia="Times New Roman" w:hAnsi="Calibri" w:cs="Calibri"/>
            <w:color w:val="333333"/>
            <w:sz w:val="42"/>
            <w:szCs w:val="42"/>
            <w:u w:val="single"/>
            <w:lang w:eastAsia="en-ZA"/>
          </w:rPr>
          <w:t>Trade-Based Money Laundering - 2006</w:t>
        </w:r>
      </w:hyperlink>
    </w:p>
    <w:p w14:paraId="1531A889" w14:textId="77777777" w:rsidR="0087489D" w:rsidRPr="0087489D" w:rsidRDefault="0087489D" w:rsidP="0087489D">
      <w:pPr>
        <w:shd w:val="clear" w:color="auto" w:fill="FFFFFF"/>
        <w:spacing w:after="120" w:line="240" w:lineRule="auto"/>
        <w:ind w:left="2619" w:right="630"/>
        <w:rPr>
          <w:rFonts w:ascii="Calibri" w:eastAsia="Times New Roman" w:hAnsi="Calibri" w:cs="Calibri"/>
          <w:color w:val="5D7A88"/>
          <w:sz w:val="21"/>
          <w:szCs w:val="21"/>
          <w:lang w:eastAsia="en-ZA"/>
        </w:rPr>
      </w:pPr>
      <w:r w:rsidRPr="0087489D">
        <w:rPr>
          <w:rFonts w:ascii="Calibri" w:eastAsia="Times New Roman" w:hAnsi="Calibri" w:cs="Calibri"/>
          <w:color w:val="5D7A88"/>
          <w:sz w:val="21"/>
          <w:szCs w:val="21"/>
          <w:lang w:eastAsia="en-ZA"/>
        </w:rPr>
        <w:t>964 KB</w:t>
      </w:r>
    </w:p>
    <w:p w14:paraId="2D1B4C17" w14:textId="77777777" w:rsidR="0087489D" w:rsidRPr="0087489D" w:rsidRDefault="0087489D" w:rsidP="0087489D">
      <w:pPr>
        <w:shd w:val="clear" w:color="auto" w:fill="FFFFFF"/>
        <w:spacing w:after="0" w:line="240" w:lineRule="auto"/>
        <w:ind w:left="2619" w:right="630"/>
        <w:rPr>
          <w:rFonts w:ascii="Calibri" w:eastAsia="Times New Roman" w:hAnsi="Calibri" w:cs="Calibri"/>
          <w:caps/>
          <w:color w:val="5D7A88"/>
          <w:sz w:val="21"/>
          <w:szCs w:val="21"/>
          <w:lang w:eastAsia="en-ZA"/>
        </w:rPr>
      </w:pPr>
      <w:r w:rsidRPr="0087489D">
        <w:rPr>
          <w:rFonts w:ascii="Calibri" w:eastAsia="Times New Roman" w:hAnsi="Calibri" w:cs="Calibri"/>
          <w:caps/>
          <w:color w:val="5D7A88"/>
          <w:sz w:val="21"/>
          <w:szCs w:val="21"/>
          <w:lang w:eastAsia="en-ZA"/>
        </w:rPr>
        <w:t>APPLICATION/PDF</w:t>
      </w:r>
    </w:p>
    <w:p w14:paraId="0B42CA4D" w14:textId="77777777" w:rsidR="0087489D" w:rsidRPr="0087489D" w:rsidRDefault="0087489D" w:rsidP="0087489D">
      <w:pPr>
        <w:shd w:val="clear" w:color="auto" w:fill="FFFFFF"/>
        <w:spacing w:after="120" w:line="240" w:lineRule="auto"/>
        <w:rPr>
          <w:rFonts w:ascii="Calibri" w:eastAsia="Times New Roman" w:hAnsi="Calibri" w:cs="Calibri"/>
          <w:color w:val="333333"/>
          <w:sz w:val="27"/>
          <w:szCs w:val="27"/>
          <w:lang w:eastAsia="en-ZA"/>
        </w:rPr>
      </w:pPr>
      <w:hyperlink r:id="rId49" w:history="1">
        <w:r w:rsidRPr="0087489D">
          <w:rPr>
            <w:rFonts w:ascii="Calibri" w:eastAsia="Times New Roman" w:hAnsi="Calibri" w:cs="Calibri"/>
            <w:color w:val="333333"/>
            <w:sz w:val="27"/>
            <w:szCs w:val="27"/>
            <w:bdr w:val="single" w:sz="12" w:space="6" w:color="267589" w:frame="1"/>
            <w:shd w:val="clear" w:color="auto" w:fill="FFFFFF"/>
            <w:lang w:eastAsia="en-ZA"/>
          </w:rPr>
          <w:t>Download</w:t>
        </w:r>
      </w:hyperlink>
    </w:p>
    <w:p w14:paraId="1C57AB70" w14:textId="77777777" w:rsidR="0087489D" w:rsidRPr="0087489D" w:rsidRDefault="0087489D" w:rsidP="0087489D">
      <w:pPr>
        <w:shd w:val="clear" w:color="auto" w:fill="FFFFFF"/>
        <w:spacing w:after="0" w:line="240" w:lineRule="auto"/>
        <w:outlineLvl w:val="2"/>
        <w:rPr>
          <w:rFonts w:ascii="Calibri" w:eastAsia="Times New Roman" w:hAnsi="Calibri" w:cs="Calibri"/>
          <w:b/>
          <w:bCs/>
          <w:color w:val="333333"/>
          <w:sz w:val="42"/>
          <w:szCs w:val="42"/>
          <w:lang w:eastAsia="en-ZA"/>
        </w:rPr>
      </w:pPr>
      <w:r w:rsidRPr="0087489D">
        <w:rPr>
          <w:rFonts w:ascii="Calibri" w:eastAsia="Times New Roman" w:hAnsi="Calibri" w:cs="Calibri"/>
          <w:b/>
          <w:bCs/>
          <w:color w:val="333333"/>
          <w:sz w:val="42"/>
          <w:szCs w:val="42"/>
          <w:lang w:eastAsia="en-ZA"/>
        </w:rPr>
        <w:t>Trade-Based Money Laundering</w:t>
      </w:r>
    </w:p>
    <w:p w14:paraId="6A58BBC1"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 xml:space="preserve">There are three main methods by which criminal organisations and terrorist financiers move money for the purpose of disguising its origins and integrating it into the formal economy. The first is </w:t>
      </w:r>
      <w:proofErr w:type="gramStart"/>
      <w:r w:rsidRPr="0087489D">
        <w:rPr>
          <w:rFonts w:ascii="Calibri" w:eastAsia="Times New Roman" w:hAnsi="Calibri" w:cs="Calibri"/>
          <w:color w:val="333333"/>
          <w:sz w:val="27"/>
          <w:szCs w:val="27"/>
          <w:lang w:eastAsia="en-ZA"/>
        </w:rPr>
        <w:t>through the use of</w:t>
      </w:r>
      <w:proofErr w:type="gramEnd"/>
      <w:r w:rsidRPr="0087489D">
        <w:rPr>
          <w:rFonts w:ascii="Calibri" w:eastAsia="Times New Roman" w:hAnsi="Calibri" w:cs="Calibri"/>
          <w:color w:val="333333"/>
          <w:sz w:val="27"/>
          <w:szCs w:val="27"/>
          <w:lang w:eastAsia="en-ZA"/>
        </w:rPr>
        <w:t xml:space="preserve"> the financial system; the second involves the physical movement of money (e.g. through the use of cash couriers); and the third is through the physical movement of goods through the trade system. In recent years, the Financial Action Task Force has focused considerable attention on the first two of these methods. By comparison, the scope for abuse of the international trade system has received relatively little attention. </w:t>
      </w:r>
    </w:p>
    <w:p w14:paraId="6927D3AC"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international trade system is clearly subject to a wide range of risks and vulnerabilities that can be exploited by criminal organisations and terrorist financiers. In part, these arise from the enormous volume of trade flows, which obscures individual transactions; the complexities associated with the use of multiple foreign exchange transactions and diverse trade financing arrangements; the commingling of legitimate and illicit funds; and the limited resources that most customs agencies have available to detect suspicious trade transactions.</w:t>
      </w:r>
    </w:p>
    <w:p w14:paraId="37F0514A"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proofErr w:type="gramStart"/>
      <w:r w:rsidRPr="0087489D">
        <w:rPr>
          <w:rFonts w:ascii="Calibri" w:eastAsia="Times New Roman" w:hAnsi="Calibri" w:cs="Calibri"/>
          <w:color w:val="333333"/>
          <w:sz w:val="27"/>
          <w:szCs w:val="27"/>
          <w:lang w:eastAsia="en-ZA"/>
        </w:rPr>
        <w:t>For the purpose of</w:t>
      </w:r>
      <w:proofErr w:type="gramEnd"/>
      <w:r w:rsidRPr="0087489D">
        <w:rPr>
          <w:rFonts w:ascii="Calibri" w:eastAsia="Times New Roman" w:hAnsi="Calibri" w:cs="Calibri"/>
          <w:color w:val="333333"/>
          <w:sz w:val="27"/>
          <w:szCs w:val="27"/>
          <w:lang w:eastAsia="en-ZA"/>
        </w:rPr>
        <w:t xml:space="preserve"> this study, trade-based money laundering is defined as the process of disguising the proceeds of crime and moving value through the use of trade transactions in an attempt to legitimise their illicit origins. In practice, this can be achieved through the misrepresentation of the price, quantity or quality of imports or exports. Moreover, trade-based money laundering techniques vary in complexity and are frequently used in combination with other money laundering techniques to further obscure the money trail. This study provides </w:t>
      </w:r>
      <w:proofErr w:type="gramStart"/>
      <w:r w:rsidRPr="0087489D">
        <w:rPr>
          <w:rFonts w:ascii="Calibri" w:eastAsia="Times New Roman" w:hAnsi="Calibri" w:cs="Calibri"/>
          <w:color w:val="333333"/>
          <w:sz w:val="27"/>
          <w:szCs w:val="27"/>
          <w:lang w:eastAsia="en-ZA"/>
        </w:rPr>
        <w:t>a number of</w:t>
      </w:r>
      <w:proofErr w:type="gramEnd"/>
      <w:r w:rsidRPr="0087489D">
        <w:rPr>
          <w:rFonts w:ascii="Calibri" w:eastAsia="Times New Roman" w:hAnsi="Calibri" w:cs="Calibri"/>
          <w:color w:val="333333"/>
          <w:sz w:val="27"/>
          <w:szCs w:val="27"/>
          <w:lang w:eastAsia="en-ZA"/>
        </w:rPr>
        <w:t xml:space="preserve"> case studies that illustrate how the international trade system has been exploited by criminal organisations. It also has made use of a detailed questionnaire to gather information on the current practices of more than thirty countries. This information focuses on the ability of various government agencies to identify suspicious activities related to trade transactions, to share this information with domestic and foreign partner agencies, and to act on this information.</w:t>
      </w:r>
    </w:p>
    <w:p w14:paraId="196B5BA0"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The study concludes that trade-based money laundering represents an important channel of criminal activity and, given the growth of world trade, an increasingly important money laundering and terrorist financing vulnerability.</w:t>
      </w:r>
    </w:p>
    <w:p w14:paraId="46A6D780"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87489D">
        <w:rPr>
          <w:rFonts w:ascii="Calibri" w:eastAsia="Times New Roman" w:hAnsi="Calibri" w:cs="Calibri"/>
          <w:color w:val="333333"/>
          <w:sz w:val="27"/>
          <w:szCs w:val="27"/>
          <w:lang w:eastAsia="en-ZA"/>
        </w:rPr>
        <w:t>Moreover, as the standards applied to other money laundering techniques become increasingly effective, the use of trade-based money laundering can be expected to become increasingly attractive.</w:t>
      </w:r>
    </w:p>
    <w:p w14:paraId="09A62331" w14:textId="77777777" w:rsidR="0087489D" w:rsidRPr="0087489D" w:rsidRDefault="0087489D" w:rsidP="0087489D">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hyperlink r:id="rId50" w:history="1">
        <w:r w:rsidRPr="0087489D">
          <w:rPr>
            <w:rFonts w:ascii="Calibri" w:eastAsia="Times New Roman" w:hAnsi="Calibri" w:cs="Calibri"/>
            <w:color w:val="267589"/>
            <w:sz w:val="27"/>
            <w:szCs w:val="27"/>
            <w:u w:val="single"/>
            <w:lang w:eastAsia="en-ZA"/>
          </w:rPr>
          <w:t>Best Practices on Trade Based Money Laundering</w:t>
        </w:r>
      </w:hyperlink>
    </w:p>
    <w:p w14:paraId="11F06F71" w14:textId="70011DDA" w:rsidR="0087489D" w:rsidRDefault="0087489D"/>
    <w:p w14:paraId="2D8B546A" w14:textId="77777777" w:rsidR="007353CC" w:rsidRPr="007353CC" w:rsidRDefault="007353CC" w:rsidP="007353CC">
      <w:pPr>
        <w:shd w:val="clear" w:color="auto" w:fill="4F9EB2"/>
        <w:spacing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03ED1135" wp14:editId="38B9DD1F">
            <wp:extent cx="800100" cy="1417320"/>
            <wp:effectExtent l="0" t="0" r="0" b="0"/>
            <wp:docPr id="5" name="Picture 5" descr="FATF logo">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TF logo">
                      <a:hlinkClick r:id="rId40"/>
                    </pic:cNvPr>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00100" cy="1417320"/>
                    </a:xfrm>
                    <a:prstGeom prst="rect">
                      <a:avLst/>
                    </a:prstGeom>
                    <a:noFill/>
                    <a:ln>
                      <a:noFill/>
                    </a:ln>
                  </pic:spPr>
                </pic:pic>
              </a:graphicData>
            </a:graphic>
          </wp:inline>
        </w:drawing>
      </w:r>
    </w:p>
    <w:p w14:paraId="55322F0A"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noProof/>
          <w:color w:val="267589"/>
          <w:sz w:val="27"/>
          <w:szCs w:val="27"/>
          <w:lang w:eastAsia="en-ZA"/>
        </w:rPr>
        <w:drawing>
          <wp:inline distT="0" distB="0" distL="0" distR="0" wp14:anchorId="4D64B0F3" wp14:editId="2AE52715">
            <wp:extent cx="304800" cy="304800"/>
            <wp:effectExtent l="0" t="0" r="0" b="0"/>
            <wp:docPr id="6" name="Picture 6" descr="search-icon">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earch-icon">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inline>
        </w:drawing>
      </w:r>
    </w:p>
    <w:p w14:paraId="014365E2"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5D7A88"/>
          <w:sz w:val="27"/>
          <w:szCs w:val="27"/>
          <w:lang w:eastAsia="en-ZA"/>
        </w:rPr>
        <w:t>English</w:t>
      </w:r>
    </w:p>
    <w:p w14:paraId="11A83B03" w14:textId="77777777" w:rsidR="007353CC" w:rsidRPr="007353CC" w:rsidRDefault="007353CC" w:rsidP="007353CC">
      <w:pPr>
        <w:numPr>
          <w:ilvl w:val="0"/>
          <w:numId w:val="9"/>
        </w:numPr>
        <w:shd w:val="clear" w:color="auto" w:fill="4F9EB2"/>
        <w:spacing w:beforeAutospacing="1" w:after="0" w:afterAutospacing="1" w:line="240" w:lineRule="auto"/>
        <w:ind w:left="0"/>
        <w:rPr>
          <w:rFonts w:ascii="Calibri" w:eastAsia="Times New Roman" w:hAnsi="Calibri" w:cs="Calibri"/>
          <w:color w:val="333333"/>
          <w:sz w:val="27"/>
          <w:szCs w:val="27"/>
          <w:lang w:eastAsia="en-ZA"/>
        </w:rPr>
      </w:pPr>
    </w:p>
    <w:p w14:paraId="7DECA67F" w14:textId="77777777" w:rsidR="007353CC" w:rsidRPr="007353CC" w:rsidRDefault="007353CC" w:rsidP="007353CC">
      <w:pPr>
        <w:numPr>
          <w:ilvl w:val="0"/>
          <w:numId w:val="9"/>
        </w:numPr>
        <w:shd w:val="clear" w:color="auto" w:fill="FFFFFF"/>
        <w:spacing w:beforeAutospacing="1" w:after="0" w:afterAutospacing="1" w:line="240" w:lineRule="auto"/>
        <w:ind w:left="0"/>
        <w:rPr>
          <w:rFonts w:ascii="Calibri" w:eastAsia="Times New Roman" w:hAnsi="Calibri" w:cs="Calibri"/>
          <w:color w:val="333333"/>
          <w:sz w:val="27"/>
          <w:szCs w:val="27"/>
          <w:lang w:eastAsia="en-ZA"/>
        </w:rPr>
      </w:pPr>
    </w:p>
    <w:p w14:paraId="7ABC5B9E" w14:textId="77777777" w:rsidR="007353CC" w:rsidRPr="007353CC" w:rsidRDefault="007353CC" w:rsidP="007353CC">
      <w:pPr>
        <w:shd w:val="clear" w:color="auto" w:fill="4F9EB2"/>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The </w:t>
      </w:r>
      <w:proofErr w:type="spellStart"/>
      <w:r w:rsidRPr="007353CC">
        <w:rPr>
          <w:rFonts w:ascii="Calibri" w:eastAsia="Times New Roman" w:hAnsi="Calibri" w:cs="Calibri"/>
          <w:color w:val="333333"/>
          <w:sz w:val="27"/>
          <w:szCs w:val="27"/>
          <w:lang w:eastAsia="en-ZA"/>
        </w:rPr>
        <w:t>FATFCountriesPublicationsTopicsCalendars</w:t>
      </w:r>
      <w:proofErr w:type="spellEnd"/>
    </w:p>
    <w:p w14:paraId="2713C033"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51" w:history="1">
        <w:r w:rsidRPr="007353CC">
          <w:rPr>
            <w:rFonts w:ascii="Calibri" w:eastAsia="Times New Roman" w:hAnsi="Calibri" w:cs="Calibri"/>
            <w:color w:val="5D7A88"/>
            <w:sz w:val="24"/>
            <w:szCs w:val="24"/>
            <w:u w:val="single"/>
            <w:lang w:eastAsia="en-ZA"/>
          </w:rPr>
          <w:t>Home </w:t>
        </w:r>
      </w:hyperlink>
    </w:p>
    <w:p w14:paraId="3BC12B7C"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7CAE0E68"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color w:val="333333"/>
          <w:sz w:val="27"/>
          <w:szCs w:val="27"/>
          <w:lang w:eastAsia="en-ZA"/>
        </w:rPr>
      </w:pPr>
      <w:hyperlink r:id="rId52" w:history="1">
        <w:r w:rsidRPr="007353CC">
          <w:rPr>
            <w:rFonts w:ascii="Calibri" w:eastAsia="Times New Roman" w:hAnsi="Calibri" w:cs="Calibri"/>
            <w:color w:val="5D7A88"/>
            <w:sz w:val="24"/>
            <w:szCs w:val="24"/>
            <w:u w:val="single"/>
            <w:lang w:eastAsia="en-ZA"/>
          </w:rPr>
          <w:t>Publications </w:t>
        </w:r>
      </w:hyperlink>
    </w:p>
    <w:p w14:paraId="3C6BAE3B" w14:textId="77777777" w:rsidR="007353CC" w:rsidRPr="007353CC" w:rsidRDefault="007353CC" w:rsidP="007353CC">
      <w:pPr>
        <w:shd w:val="clear" w:color="auto" w:fill="FFFFFF"/>
        <w:spacing w:after="0"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w:t>
      </w:r>
    </w:p>
    <w:p w14:paraId="0A07F06B" w14:textId="77777777" w:rsidR="007353CC" w:rsidRPr="007353CC" w:rsidRDefault="007353CC" w:rsidP="007353CC">
      <w:pPr>
        <w:numPr>
          <w:ilvl w:val="0"/>
          <w:numId w:val="10"/>
        </w:numPr>
        <w:shd w:val="clear" w:color="auto" w:fill="FFFFFF"/>
        <w:spacing w:before="100" w:beforeAutospacing="1" w:after="100" w:afterAutospacing="1" w:line="240" w:lineRule="auto"/>
        <w:ind w:left="1899"/>
        <w:textAlignment w:val="top"/>
        <w:rPr>
          <w:rFonts w:ascii="Calibri" w:eastAsia="Times New Roman" w:hAnsi="Calibri" w:cs="Calibri"/>
          <w:b/>
          <w:bCs/>
          <w:color w:val="333333"/>
          <w:sz w:val="27"/>
          <w:szCs w:val="27"/>
          <w:lang w:eastAsia="en-ZA"/>
        </w:rPr>
      </w:pPr>
      <w:r w:rsidRPr="007353CC">
        <w:rPr>
          <w:rFonts w:ascii="Calibri" w:eastAsia="Times New Roman" w:hAnsi="Calibri" w:cs="Calibri"/>
          <w:b/>
          <w:bCs/>
          <w:color w:val="333333"/>
          <w:sz w:val="27"/>
          <w:szCs w:val="27"/>
          <w:lang w:eastAsia="en-ZA"/>
        </w:rPr>
        <w:t>Best Practices on Trade Based Money Laundering</w:t>
      </w:r>
    </w:p>
    <w:p w14:paraId="6D9EEA52" w14:textId="77777777" w:rsidR="007353CC" w:rsidRPr="007353CC" w:rsidRDefault="007353CC" w:rsidP="007353CC">
      <w:pPr>
        <w:shd w:val="clear" w:color="auto" w:fill="FFFFFF"/>
        <w:spacing w:after="0" w:line="240" w:lineRule="auto"/>
        <w:outlineLvl w:val="0"/>
        <w:rPr>
          <w:rFonts w:ascii="Calibri" w:eastAsia="Times New Roman" w:hAnsi="Calibri" w:cs="Calibri"/>
          <w:b/>
          <w:bCs/>
          <w:color w:val="333333"/>
          <w:kern w:val="36"/>
          <w:sz w:val="66"/>
          <w:szCs w:val="66"/>
          <w:lang w:eastAsia="en-ZA"/>
        </w:rPr>
      </w:pPr>
      <w:r w:rsidRPr="007353CC">
        <w:rPr>
          <w:rFonts w:ascii="Calibri" w:eastAsia="Times New Roman" w:hAnsi="Calibri" w:cs="Calibri"/>
          <w:b/>
          <w:bCs/>
          <w:color w:val="333333"/>
          <w:kern w:val="36"/>
          <w:sz w:val="66"/>
          <w:szCs w:val="66"/>
          <w:lang w:eastAsia="en-ZA"/>
        </w:rPr>
        <w:t>Best Practices on Trade Based Money Laundering</w:t>
      </w:r>
    </w:p>
    <w:p w14:paraId="04904780" w14:textId="77777777" w:rsidR="007353CC" w:rsidRPr="007353CC" w:rsidRDefault="007353CC" w:rsidP="007353CC">
      <w:pPr>
        <w:shd w:val="clear" w:color="auto" w:fill="FFFFFF"/>
        <w:spacing w:before="288" w:after="0" w:line="240" w:lineRule="auto"/>
        <w:jc w:val="right"/>
        <w:outlineLvl w:val="3"/>
        <w:rPr>
          <w:rFonts w:ascii="Calibri" w:eastAsia="Times New Roman" w:hAnsi="Calibri" w:cs="Calibri"/>
          <w:b/>
          <w:bCs/>
          <w:color w:val="333333"/>
          <w:sz w:val="33"/>
          <w:szCs w:val="33"/>
          <w:lang w:eastAsia="en-ZA"/>
        </w:rPr>
      </w:pPr>
      <w:r w:rsidRPr="007353CC">
        <w:rPr>
          <w:rFonts w:ascii="Calibri" w:eastAsia="Times New Roman" w:hAnsi="Calibri" w:cs="Calibri"/>
          <w:b/>
          <w:bCs/>
          <w:color w:val="333333"/>
          <w:sz w:val="33"/>
          <w:szCs w:val="33"/>
          <w:lang w:eastAsia="en-ZA"/>
        </w:rPr>
        <w:t>Publication details</w:t>
      </w:r>
    </w:p>
    <w:p w14:paraId="2E13A8C8"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Language</w:t>
      </w:r>
    </w:p>
    <w:p w14:paraId="433ECBBC"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r w:rsidRPr="007353CC">
        <w:rPr>
          <w:rFonts w:ascii="Calibri" w:eastAsia="Times New Roman" w:hAnsi="Calibri" w:cs="Calibri"/>
          <w:color w:val="333333"/>
          <w:sz w:val="21"/>
          <w:szCs w:val="21"/>
          <w:lang w:eastAsia="en-ZA"/>
        </w:rPr>
        <w:t>English</w:t>
      </w:r>
    </w:p>
    <w:p w14:paraId="5B1AC549"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Country</w:t>
      </w:r>
    </w:p>
    <w:p w14:paraId="2D0F6121" w14:textId="77777777" w:rsidR="007353CC" w:rsidRPr="007353CC" w:rsidRDefault="007353CC" w:rsidP="007353CC">
      <w:pPr>
        <w:shd w:val="clear" w:color="auto" w:fill="FFFFFF"/>
        <w:spacing w:after="0" w:line="240" w:lineRule="auto"/>
        <w:jc w:val="right"/>
        <w:outlineLvl w:val="5"/>
        <w:rPr>
          <w:rFonts w:ascii="Calibri" w:eastAsia="Times New Roman" w:hAnsi="Calibri" w:cs="Calibri"/>
          <w:b/>
          <w:bCs/>
          <w:color w:val="333333"/>
          <w:sz w:val="24"/>
          <w:szCs w:val="24"/>
          <w:lang w:eastAsia="en-ZA"/>
        </w:rPr>
      </w:pPr>
      <w:r w:rsidRPr="007353CC">
        <w:rPr>
          <w:rFonts w:ascii="Calibri" w:eastAsia="Times New Roman" w:hAnsi="Calibri" w:cs="Calibri"/>
          <w:b/>
          <w:bCs/>
          <w:color w:val="333333"/>
          <w:sz w:val="24"/>
          <w:szCs w:val="24"/>
          <w:lang w:eastAsia="en-ZA"/>
        </w:rPr>
        <w:t>Topic</w:t>
      </w:r>
    </w:p>
    <w:p w14:paraId="420E0023" w14:textId="77777777" w:rsidR="007353CC" w:rsidRPr="007353CC" w:rsidRDefault="007353CC" w:rsidP="007353CC">
      <w:pPr>
        <w:shd w:val="clear" w:color="auto" w:fill="FFFFFF"/>
        <w:spacing w:after="0" w:line="240" w:lineRule="auto"/>
        <w:jc w:val="right"/>
        <w:rPr>
          <w:rFonts w:ascii="Calibri" w:eastAsia="Times New Roman" w:hAnsi="Calibri" w:cs="Calibri"/>
          <w:color w:val="333333"/>
          <w:sz w:val="21"/>
          <w:szCs w:val="21"/>
          <w:lang w:eastAsia="en-ZA"/>
        </w:rPr>
      </w:pPr>
      <w:hyperlink r:id="rId53" w:history="1">
        <w:r w:rsidRPr="007353CC">
          <w:rPr>
            <w:rFonts w:ascii="Calibri" w:eastAsia="Times New Roman" w:hAnsi="Calibri" w:cs="Calibri"/>
            <w:color w:val="267589"/>
            <w:sz w:val="21"/>
            <w:szCs w:val="21"/>
            <w:u w:val="single"/>
            <w:lang w:eastAsia="en-ZA"/>
          </w:rPr>
          <w:t>FATF Recommendations</w:t>
        </w:r>
      </w:hyperlink>
    </w:p>
    <w:p w14:paraId="2E280DB1" w14:textId="77777777" w:rsidR="007353CC" w:rsidRPr="007353CC" w:rsidRDefault="007353CC" w:rsidP="007353CC">
      <w:pPr>
        <w:shd w:val="clear" w:color="auto" w:fill="FFFFFF"/>
        <w:spacing w:after="0" w:line="240" w:lineRule="auto"/>
        <w:outlineLvl w:val="2"/>
        <w:rPr>
          <w:rFonts w:ascii="Calibri" w:eastAsia="Times New Roman" w:hAnsi="Calibri" w:cs="Calibri"/>
          <w:b/>
          <w:bCs/>
          <w:color w:val="333333"/>
          <w:sz w:val="42"/>
          <w:szCs w:val="42"/>
          <w:lang w:eastAsia="en-ZA"/>
        </w:rPr>
      </w:pPr>
      <w:r w:rsidRPr="007353CC">
        <w:rPr>
          <w:rFonts w:ascii="Calibri" w:eastAsia="Times New Roman" w:hAnsi="Calibri" w:cs="Calibri"/>
          <w:b/>
          <w:bCs/>
          <w:color w:val="333333"/>
          <w:sz w:val="42"/>
          <w:szCs w:val="42"/>
          <w:lang w:eastAsia="en-ZA"/>
        </w:rPr>
        <w:t>Best Practices on Trade Based Money Laundering</w:t>
      </w:r>
    </w:p>
    <w:p w14:paraId="51A20402"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 xml:space="preserve">The FATF has issued a new best practices paper on </w:t>
      </w:r>
      <w:proofErr w:type="gramStart"/>
      <w:r w:rsidRPr="007353CC">
        <w:rPr>
          <w:rFonts w:ascii="Calibri" w:eastAsia="Times New Roman" w:hAnsi="Calibri" w:cs="Calibri"/>
          <w:color w:val="333333"/>
          <w:sz w:val="27"/>
          <w:szCs w:val="27"/>
          <w:lang w:eastAsia="en-ZA"/>
        </w:rPr>
        <w:t>trade based</w:t>
      </w:r>
      <w:proofErr w:type="gramEnd"/>
      <w:r w:rsidRPr="007353CC">
        <w:rPr>
          <w:rFonts w:ascii="Calibri" w:eastAsia="Times New Roman" w:hAnsi="Calibri" w:cs="Calibri"/>
          <w:color w:val="333333"/>
          <w:sz w:val="27"/>
          <w:szCs w:val="27"/>
          <w:lang w:eastAsia="en-ZA"/>
        </w:rPr>
        <w:t xml:space="preserve"> money laundering and terrorist financing to raise awareness and improve the ability of government authorities to collect and effectively utilise trade date, both domestically and internationally, for the purpose of detecting and investigating money laundering and terrorist financing through international trade.</w:t>
      </w:r>
    </w:p>
    <w:p w14:paraId="4F80B038"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color w:val="333333"/>
          <w:sz w:val="27"/>
          <w:szCs w:val="27"/>
          <w:lang w:eastAsia="en-ZA"/>
        </w:rPr>
        <w:t>Misuse of the trade system is one of the main methods by which criminal organisations and terrorist financiers move money for the purpose of disguising its origins and integrating it into the formal economy.</w:t>
      </w:r>
    </w:p>
    <w:p w14:paraId="16F538FA"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 xml:space="preserve">Please note that this document refers to the FATF Recommendations as last updated and published in </w:t>
      </w:r>
      <w:proofErr w:type="gramStart"/>
      <w:r w:rsidRPr="007353CC">
        <w:rPr>
          <w:rFonts w:ascii="Calibri" w:eastAsia="Times New Roman" w:hAnsi="Calibri" w:cs="Calibri"/>
          <w:i/>
          <w:iCs/>
          <w:color w:val="333333"/>
          <w:sz w:val="27"/>
          <w:szCs w:val="27"/>
          <w:lang w:eastAsia="en-ZA"/>
        </w:rPr>
        <w:t>October 2004, and</w:t>
      </w:r>
      <w:proofErr w:type="gramEnd"/>
      <w:r w:rsidRPr="007353CC">
        <w:rPr>
          <w:rFonts w:ascii="Calibri" w:eastAsia="Times New Roman" w:hAnsi="Calibri" w:cs="Calibri"/>
          <w:i/>
          <w:iCs/>
          <w:color w:val="333333"/>
          <w:sz w:val="27"/>
          <w:szCs w:val="27"/>
          <w:lang w:eastAsia="en-ZA"/>
        </w:rPr>
        <w:t xml:space="preserve"> does not yet take into account the 2012 revision of the FATF Recommendations. </w:t>
      </w:r>
    </w:p>
    <w:p w14:paraId="5897801F" w14:textId="77777777" w:rsidR="007353CC" w:rsidRPr="007353CC" w:rsidRDefault="007353CC" w:rsidP="007353CC">
      <w:pPr>
        <w:shd w:val="clear" w:color="auto" w:fill="FFFFFF"/>
        <w:spacing w:before="100" w:beforeAutospacing="1" w:after="100" w:afterAutospacing="1" w:line="240" w:lineRule="auto"/>
        <w:rPr>
          <w:rFonts w:ascii="Calibri" w:eastAsia="Times New Roman" w:hAnsi="Calibri" w:cs="Calibri"/>
          <w:color w:val="333333"/>
          <w:sz w:val="27"/>
          <w:szCs w:val="27"/>
          <w:lang w:eastAsia="en-ZA"/>
        </w:rPr>
      </w:pPr>
      <w:r w:rsidRPr="007353CC">
        <w:rPr>
          <w:rFonts w:ascii="Calibri" w:eastAsia="Times New Roman" w:hAnsi="Calibri" w:cs="Calibri"/>
          <w:i/>
          <w:iCs/>
          <w:color w:val="333333"/>
          <w:sz w:val="27"/>
          <w:szCs w:val="27"/>
          <w:lang w:eastAsia="en-ZA"/>
        </w:rPr>
        <w:t>Click for the 2012 FATF Recommendations, including the conversion table from the old Recommendation to the new FATF Recommendation.</w:t>
      </w:r>
    </w:p>
    <w:p w14:paraId="471B1308" w14:textId="77777777" w:rsidR="007353CC" w:rsidRPr="007353CC" w:rsidRDefault="007353CC" w:rsidP="007353CC">
      <w:pPr>
        <w:numPr>
          <w:ilvl w:val="0"/>
          <w:numId w:val="11"/>
        </w:numPr>
        <w:shd w:val="clear" w:color="auto" w:fill="FFFFFF"/>
        <w:spacing w:before="100" w:beforeAutospacing="1" w:after="100" w:afterAutospacing="1" w:line="240" w:lineRule="auto"/>
        <w:ind w:left="1200"/>
        <w:rPr>
          <w:rFonts w:ascii="Calibri" w:eastAsia="Times New Roman" w:hAnsi="Calibri" w:cs="Calibri"/>
          <w:color w:val="333333"/>
          <w:sz w:val="27"/>
          <w:szCs w:val="27"/>
          <w:lang w:eastAsia="en-ZA"/>
        </w:rPr>
      </w:pPr>
      <w:hyperlink r:id="rId54" w:history="1">
        <w:r w:rsidRPr="007353CC">
          <w:rPr>
            <w:rFonts w:ascii="Calibri" w:eastAsia="Times New Roman" w:hAnsi="Calibri" w:cs="Calibri"/>
            <w:color w:val="267589"/>
            <w:sz w:val="24"/>
            <w:szCs w:val="24"/>
            <w:u w:val="single"/>
            <w:lang w:eastAsia="en-ZA"/>
          </w:rPr>
          <w:t>The 40 Recommendations, published October 2004</w:t>
        </w:r>
      </w:hyperlink>
    </w:p>
    <w:p w14:paraId="74B5F7B7" w14:textId="77777777" w:rsidR="007353CC" w:rsidRPr="007353CC" w:rsidRDefault="007353CC" w:rsidP="007353CC">
      <w:pPr>
        <w:numPr>
          <w:ilvl w:val="0"/>
          <w:numId w:val="11"/>
        </w:numPr>
        <w:shd w:val="clear" w:color="auto" w:fill="FFFFFF"/>
        <w:spacing w:before="100" w:beforeAutospacing="1" w:after="100" w:afterAutospacing="1" w:line="240" w:lineRule="auto"/>
        <w:ind w:left="1200"/>
        <w:rPr>
          <w:rFonts w:ascii="Calibri" w:eastAsia="Times New Roman" w:hAnsi="Calibri" w:cs="Calibri"/>
          <w:color w:val="333333"/>
          <w:sz w:val="27"/>
          <w:szCs w:val="27"/>
          <w:lang w:eastAsia="en-ZA"/>
        </w:rPr>
      </w:pPr>
      <w:hyperlink r:id="rId55" w:history="1">
        <w:r w:rsidRPr="007353CC">
          <w:rPr>
            <w:rFonts w:ascii="Calibri" w:eastAsia="Times New Roman" w:hAnsi="Calibri" w:cs="Calibri"/>
            <w:color w:val="267589"/>
            <w:sz w:val="24"/>
            <w:szCs w:val="24"/>
            <w:u w:val="single"/>
            <w:lang w:eastAsia="en-ZA"/>
          </w:rPr>
          <w:t>IX Special Recommendations</w:t>
        </w:r>
      </w:hyperlink>
    </w:p>
    <w:p w14:paraId="75E3245C" w14:textId="77777777" w:rsidR="007353CC" w:rsidRDefault="007353CC"/>
    <w:sectPr w:rsidR="007353CC">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ar(--primary-fon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7E1B04"/>
    <w:multiLevelType w:val="multilevel"/>
    <w:tmpl w:val="3FD43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382E73"/>
    <w:multiLevelType w:val="multilevel"/>
    <w:tmpl w:val="5F524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C8602B"/>
    <w:multiLevelType w:val="multilevel"/>
    <w:tmpl w:val="5DBC8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7961524"/>
    <w:multiLevelType w:val="multilevel"/>
    <w:tmpl w:val="92EAA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C650EDE"/>
    <w:multiLevelType w:val="multilevel"/>
    <w:tmpl w:val="2AA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13A2D74"/>
    <w:multiLevelType w:val="multilevel"/>
    <w:tmpl w:val="0428F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9CA1C56"/>
    <w:multiLevelType w:val="multilevel"/>
    <w:tmpl w:val="9E9C7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85E5610"/>
    <w:multiLevelType w:val="multilevel"/>
    <w:tmpl w:val="DBDAB8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D542197"/>
    <w:multiLevelType w:val="multilevel"/>
    <w:tmpl w:val="98BA9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53F751C"/>
    <w:multiLevelType w:val="multilevel"/>
    <w:tmpl w:val="1272F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5B4650A"/>
    <w:multiLevelType w:val="multilevel"/>
    <w:tmpl w:val="F5C08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C9A2CA4"/>
    <w:multiLevelType w:val="multilevel"/>
    <w:tmpl w:val="A600D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0DD1B51"/>
    <w:multiLevelType w:val="multilevel"/>
    <w:tmpl w:val="306C06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71BC0A94"/>
    <w:multiLevelType w:val="multilevel"/>
    <w:tmpl w:val="DE62E5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FB75C6E"/>
    <w:multiLevelType w:val="multilevel"/>
    <w:tmpl w:val="5FE8D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0424601">
    <w:abstractNumId w:val="1"/>
  </w:num>
  <w:num w:numId="2" w16cid:durableId="1342702294">
    <w:abstractNumId w:val="14"/>
  </w:num>
  <w:num w:numId="3" w16cid:durableId="1354964989">
    <w:abstractNumId w:val="10"/>
  </w:num>
  <w:num w:numId="4" w16cid:durableId="2093239117">
    <w:abstractNumId w:val="4"/>
  </w:num>
  <w:num w:numId="5" w16cid:durableId="1140801353">
    <w:abstractNumId w:val="6"/>
  </w:num>
  <w:num w:numId="6" w16cid:durableId="922228641">
    <w:abstractNumId w:val="8"/>
  </w:num>
  <w:num w:numId="7" w16cid:durableId="842478841">
    <w:abstractNumId w:val="2"/>
  </w:num>
  <w:num w:numId="8" w16cid:durableId="649099017">
    <w:abstractNumId w:val="7"/>
  </w:num>
  <w:num w:numId="9" w16cid:durableId="1284077575">
    <w:abstractNumId w:val="0"/>
  </w:num>
  <w:num w:numId="10" w16cid:durableId="841041899">
    <w:abstractNumId w:val="12"/>
  </w:num>
  <w:num w:numId="11" w16cid:durableId="1186291054">
    <w:abstractNumId w:val="11"/>
  </w:num>
  <w:num w:numId="12" w16cid:durableId="2060519708">
    <w:abstractNumId w:val="9"/>
  </w:num>
  <w:num w:numId="13" w16cid:durableId="187642624">
    <w:abstractNumId w:val="3"/>
  </w:num>
  <w:num w:numId="14" w16cid:durableId="1535577591">
    <w:abstractNumId w:val="13"/>
  </w:num>
  <w:num w:numId="15" w16cid:durableId="138668577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489D"/>
    <w:rsid w:val="000B3BD8"/>
    <w:rsid w:val="00144B57"/>
    <w:rsid w:val="001A5B13"/>
    <w:rsid w:val="002E3239"/>
    <w:rsid w:val="00626852"/>
    <w:rsid w:val="007353CC"/>
    <w:rsid w:val="0087489D"/>
    <w:rsid w:val="0099412A"/>
    <w:rsid w:val="00996D21"/>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85745"/>
  <w15:chartTrackingRefBased/>
  <w15:docId w15:val="{88D93F63-E976-4CD4-9F34-EC71E3C10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9847239">
      <w:bodyDiv w:val="1"/>
      <w:marLeft w:val="0"/>
      <w:marRight w:val="0"/>
      <w:marTop w:val="0"/>
      <w:marBottom w:val="0"/>
      <w:divBdr>
        <w:top w:val="none" w:sz="0" w:space="0" w:color="auto"/>
        <w:left w:val="none" w:sz="0" w:space="0" w:color="auto"/>
        <w:bottom w:val="none" w:sz="0" w:space="0" w:color="auto"/>
        <w:right w:val="none" w:sz="0" w:space="0" w:color="auto"/>
      </w:divBdr>
      <w:divsChild>
        <w:div w:id="466557313">
          <w:marLeft w:val="0"/>
          <w:marRight w:val="0"/>
          <w:marTop w:val="120"/>
          <w:marBottom w:val="120"/>
          <w:divBdr>
            <w:top w:val="none" w:sz="0" w:space="0" w:color="auto"/>
            <w:left w:val="none" w:sz="0" w:space="0" w:color="auto"/>
            <w:bottom w:val="none" w:sz="0" w:space="0" w:color="auto"/>
            <w:right w:val="none" w:sz="0" w:space="0" w:color="auto"/>
          </w:divBdr>
        </w:div>
        <w:div w:id="183250892">
          <w:marLeft w:val="0"/>
          <w:marRight w:val="0"/>
          <w:marTop w:val="0"/>
          <w:marBottom w:val="0"/>
          <w:divBdr>
            <w:top w:val="none" w:sz="0" w:space="0" w:color="auto"/>
            <w:left w:val="none" w:sz="0" w:space="0" w:color="auto"/>
            <w:bottom w:val="none" w:sz="0" w:space="0" w:color="auto"/>
            <w:right w:val="none" w:sz="0" w:space="0" w:color="auto"/>
          </w:divBdr>
          <w:divsChild>
            <w:div w:id="685521060">
              <w:marLeft w:val="0"/>
              <w:marRight w:val="0"/>
              <w:marTop w:val="0"/>
              <w:marBottom w:val="0"/>
              <w:divBdr>
                <w:top w:val="none" w:sz="0" w:space="0" w:color="auto"/>
                <w:left w:val="none" w:sz="0" w:space="0" w:color="auto"/>
                <w:bottom w:val="none" w:sz="0" w:space="0" w:color="auto"/>
                <w:right w:val="none" w:sz="0" w:space="0" w:color="auto"/>
              </w:divBdr>
              <w:divsChild>
                <w:div w:id="1659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5745385">
          <w:marLeft w:val="0"/>
          <w:marRight w:val="0"/>
          <w:marTop w:val="0"/>
          <w:marBottom w:val="0"/>
          <w:divBdr>
            <w:top w:val="single" w:sz="6" w:space="5" w:color="DEE2E6"/>
            <w:left w:val="single" w:sz="6" w:space="5" w:color="DEE2E6"/>
            <w:bottom w:val="single" w:sz="6" w:space="5" w:color="DEE2E6"/>
            <w:right w:val="single" w:sz="6" w:space="5" w:color="DEE2E6"/>
          </w:divBdr>
          <w:divsChild>
            <w:div w:id="1321882934">
              <w:marLeft w:val="0"/>
              <w:marRight w:val="0"/>
              <w:marTop w:val="0"/>
              <w:marBottom w:val="0"/>
              <w:divBdr>
                <w:top w:val="none" w:sz="0" w:space="0" w:color="auto"/>
                <w:left w:val="none" w:sz="0" w:space="0" w:color="auto"/>
                <w:bottom w:val="none" w:sz="0" w:space="0" w:color="auto"/>
                <w:right w:val="none" w:sz="0" w:space="0" w:color="auto"/>
              </w:divBdr>
              <w:divsChild>
                <w:div w:id="1228299310">
                  <w:marLeft w:val="0"/>
                  <w:marRight w:val="0"/>
                  <w:marTop w:val="0"/>
                  <w:marBottom w:val="0"/>
                  <w:divBdr>
                    <w:top w:val="none" w:sz="0" w:space="0" w:color="auto"/>
                    <w:left w:val="none" w:sz="0" w:space="0" w:color="auto"/>
                    <w:bottom w:val="none" w:sz="0" w:space="0" w:color="auto"/>
                    <w:right w:val="none" w:sz="0" w:space="0" w:color="auto"/>
                  </w:divBdr>
                </w:div>
                <w:div w:id="2047439485">
                  <w:marLeft w:val="0"/>
                  <w:marRight w:val="0"/>
                  <w:marTop w:val="0"/>
                  <w:marBottom w:val="0"/>
                  <w:divBdr>
                    <w:top w:val="none" w:sz="0" w:space="0" w:color="auto"/>
                    <w:left w:val="none" w:sz="0" w:space="0" w:color="auto"/>
                    <w:bottom w:val="none" w:sz="0" w:space="0" w:color="auto"/>
                    <w:right w:val="none" w:sz="0" w:space="0" w:color="auto"/>
                  </w:divBdr>
                  <w:divsChild>
                    <w:div w:id="1704287999">
                      <w:marLeft w:val="0"/>
                      <w:marRight w:val="0"/>
                      <w:marTop w:val="0"/>
                      <w:marBottom w:val="0"/>
                      <w:divBdr>
                        <w:top w:val="none" w:sz="0" w:space="0" w:color="auto"/>
                        <w:left w:val="none" w:sz="0" w:space="0" w:color="auto"/>
                        <w:bottom w:val="none" w:sz="0" w:space="0" w:color="auto"/>
                        <w:right w:val="none" w:sz="0" w:space="0" w:color="auto"/>
                      </w:divBdr>
                    </w:div>
                  </w:divsChild>
                </w:div>
                <w:div w:id="528640593">
                  <w:marLeft w:val="0"/>
                  <w:marRight w:val="0"/>
                  <w:marTop w:val="0"/>
                  <w:marBottom w:val="0"/>
                  <w:divBdr>
                    <w:top w:val="none" w:sz="0" w:space="0" w:color="auto"/>
                    <w:left w:val="none" w:sz="0" w:space="0" w:color="auto"/>
                    <w:bottom w:val="none" w:sz="0" w:space="0" w:color="auto"/>
                    <w:right w:val="none" w:sz="0" w:space="0" w:color="auto"/>
                  </w:divBdr>
                  <w:divsChild>
                    <w:div w:id="1285964055">
                      <w:marLeft w:val="0"/>
                      <w:marRight w:val="0"/>
                      <w:marTop w:val="0"/>
                      <w:marBottom w:val="0"/>
                      <w:divBdr>
                        <w:top w:val="none" w:sz="0" w:space="0" w:color="auto"/>
                        <w:left w:val="none" w:sz="0" w:space="0" w:color="auto"/>
                        <w:bottom w:val="none" w:sz="0" w:space="0" w:color="auto"/>
                        <w:right w:val="none" w:sz="0" w:space="0" w:color="auto"/>
                      </w:divBdr>
                      <w:divsChild>
                        <w:div w:id="1554270599">
                          <w:marLeft w:val="0"/>
                          <w:marRight w:val="0"/>
                          <w:marTop w:val="0"/>
                          <w:marBottom w:val="0"/>
                          <w:divBdr>
                            <w:top w:val="none" w:sz="0" w:space="0" w:color="auto"/>
                            <w:left w:val="none" w:sz="0" w:space="0" w:color="auto"/>
                            <w:bottom w:val="none" w:sz="0" w:space="0" w:color="auto"/>
                            <w:right w:val="none" w:sz="0" w:space="0" w:color="auto"/>
                          </w:divBdr>
                          <w:divsChild>
                            <w:div w:id="20866568">
                              <w:marLeft w:val="0"/>
                              <w:marRight w:val="0"/>
                              <w:marTop w:val="0"/>
                              <w:marBottom w:val="0"/>
                              <w:divBdr>
                                <w:top w:val="none" w:sz="0" w:space="0" w:color="auto"/>
                                <w:left w:val="none" w:sz="0" w:space="0" w:color="auto"/>
                                <w:bottom w:val="none" w:sz="0" w:space="0" w:color="auto"/>
                                <w:right w:val="none" w:sz="0" w:space="0" w:color="auto"/>
                              </w:divBdr>
                              <w:divsChild>
                                <w:div w:id="206648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62011309">
      <w:bodyDiv w:val="1"/>
      <w:marLeft w:val="0"/>
      <w:marRight w:val="0"/>
      <w:marTop w:val="0"/>
      <w:marBottom w:val="0"/>
      <w:divBdr>
        <w:top w:val="none" w:sz="0" w:space="0" w:color="auto"/>
        <w:left w:val="none" w:sz="0" w:space="0" w:color="auto"/>
        <w:bottom w:val="none" w:sz="0" w:space="0" w:color="auto"/>
        <w:right w:val="none" w:sz="0" w:space="0" w:color="auto"/>
      </w:divBdr>
      <w:divsChild>
        <w:div w:id="326522689">
          <w:marLeft w:val="0"/>
          <w:marRight w:val="0"/>
          <w:marTop w:val="0"/>
          <w:marBottom w:val="0"/>
          <w:divBdr>
            <w:top w:val="single" w:sz="2" w:space="31" w:color="E5E7EB"/>
            <w:left w:val="single" w:sz="2" w:space="24" w:color="E5E7EB"/>
            <w:bottom w:val="single" w:sz="2" w:space="0" w:color="E5E7EB"/>
            <w:right w:val="single" w:sz="2" w:space="24" w:color="E5E7EB"/>
          </w:divBdr>
          <w:divsChild>
            <w:div w:id="1913998845">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636448076">
          <w:marLeft w:val="0"/>
          <w:marRight w:val="0"/>
          <w:marTop w:val="0"/>
          <w:marBottom w:val="0"/>
          <w:divBdr>
            <w:top w:val="single" w:sz="2" w:space="0" w:color="E5E7EB"/>
            <w:left w:val="single" w:sz="2" w:space="0" w:color="E5E7EB"/>
            <w:bottom w:val="single" w:sz="2" w:space="0" w:color="E5E7EB"/>
            <w:right w:val="single" w:sz="2" w:space="0" w:color="E5E7EB"/>
          </w:divBdr>
          <w:divsChild>
            <w:div w:id="630594666">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33855085">
      <w:bodyDiv w:val="1"/>
      <w:marLeft w:val="0"/>
      <w:marRight w:val="0"/>
      <w:marTop w:val="0"/>
      <w:marBottom w:val="0"/>
      <w:divBdr>
        <w:top w:val="none" w:sz="0" w:space="0" w:color="auto"/>
        <w:left w:val="none" w:sz="0" w:space="0" w:color="auto"/>
        <w:bottom w:val="none" w:sz="0" w:space="0" w:color="auto"/>
        <w:right w:val="none" w:sz="0" w:space="0" w:color="auto"/>
      </w:divBdr>
      <w:divsChild>
        <w:div w:id="1953442189">
          <w:marLeft w:val="0"/>
          <w:marRight w:val="0"/>
          <w:marTop w:val="0"/>
          <w:marBottom w:val="0"/>
          <w:divBdr>
            <w:top w:val="none" w:sz="0" w:space="0" w:color="auto"/>
            <w:left w:val="none" w:sz="0" w:space="0" w:color="auto"/>
            <w:bottom w:val="none" w:sz="0" w:space="0" w:color="auto"/>
            <w:right w:val="none" w:sz="0" w:space="0" w:color="auto"/>
          </w:divBdr>
          <w:divsChild>
            <w:div w:id="1799831406">
              <w:marLeft w:val="480"/>
              <w:marRight w:val="0"/>
              <w:marTop w:val="480"/>
              <w:marBottom w:val="0"/>
              <w:divBdr>
                <w:top w:val="none" w:sz="0" w:space="0" w:color="auto"/>
                <w:left w:val="none" w:sz="0" w:space="0" w:color="auto"/>
                <w:bottom w:val="none" w:sz="0" w:space="0" w:color="auto"/>
                <w:right w:val="none" w:sz="0" w:space="0" w:color="auto"/>
              </w:divBdr>
              <w:divsChild>
                <w:div w:id="1902984886">
                  <w:marLeft w:val="0"/>
                  <w:marRight w:val="0"/>
                  <w:marTop w:val="0"/>
                  <w:marBottom w:val="0"/>
                  <w:divBdr>
                    <w:top w:val="none" w:sz="0" w:space="0" w:color="auto"/>
                    <w:left w:val="none" w:sz="0" w:space="0" w:color="auto"/>
                    <w:bottom w:val="none" w:sz="0" w:space="0" w:color="auto"/>
                    <w:right w:val="none" w:sz="0" w:space="0" w:color="auto"/>
                  </w:divBdr>
                  <w:divsChild>
                    <w:div w:id="1944461980">
                      <w:marLeft w:val="0"/>
                      <w:marRight w:val="0"/>
                      <w:marTop w:val="0"/>
                      <w:marBottom w:val="0"/>
                      <w:divBdr>
                        <w:top w:val="none" w:sz="0" w:space="0" w:color="auto"/>
                        <w:left w:val="none" w:sz="0" w:space="0" w:color="auto"/>
                        <w:bottom w:val="none" w:sz="0" w:space="0" w:color="auto"/>
                        <w:right w:val="none" w:sz="0" w:space="0" w:color="auto"/>
                      </w:divBdr>
                      <w:divsChild>
                        <w:div w:id="350760666">
                          <w:marLeft w:val="0"/>
                          <w:marRight w:val="0"/>
                          <w:marTop w:val="0"/>
                          <w:marBottom w:val="0"/>
                          <w:divBdr>
                            <w:top w:val="none" w:sz="0" w:space="0" w:color="auto"/>
                            <w:left w:val="none" w:sz="0" w:space="0" w:color="auto"/>
                            <w:bottom w:val="none" w:sz="0" w:space="0" w:color="auto"/>
                            <w:right w:val="none" w:sz="0" w:space="0" w:color="auto"/>
                          </w:divBdr>
                        </w:div>
                      </w:divsChild>
                    </w:div>
                    <w:div w:id="1313414693">
                      <w:marLeft w:val="0"/>
                      <w:marRight w:val="0"/>
                      <w:marTop w:val="0"/>
                      <w:marBottom w:val="0"/>
                      <w:divBdr>
                        <w:top w:val="none" w:sz="0" w:space="0" w:color="auto"/>
                        <w:left w:val="none" w:sz="0" w:space="0" w:color="auto"/>
                        <w:bottom w:val="none" w:sz="0" w:space="0" w:color="auto"/>
                        <w:right w:val="none" w:sz="0" w:space="0" w:color="auto"/>
                      </w:divBdr>
                      <w:divsChild>
                        <w:div w:id="1296763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9716511">
      <w:bodyDiv w:val="1"/>
      <w:marLeft w:val="0"/>
      <w:marRight w:val="0"/>
      <w:marTop w:val="0"/>
      <w:marBottom w:val="0"/>
      <w:divBdr>
        <w:top w:val="none" w:sz="0" w:space="0" w:color="auto"/>
        <w:left w:val="none" w:sz="0" w:space="0" w:color="auto"/>
        <w:bottom w:val="none" w:sz="0" w:space="0" w:color="auto"/>
        <w:right w:val="none" w:sz="0" w:space="0" w:color="auto"/>
      </w:divBdr>
      <w:divsChild>
        <w:div w:id="1989506138">
          <w:marLeft w:val="0"/>
          <w:marRight w:val="0"/>
          <w:marTop w:val="0"/>
          <w:marBottom w:val="0"/>
          <w:divBdr>
            <w:top w:val="none" w:sz="0" w:space="0" w:color="auto"/>
            <w:left w:val="none" w:sz="0" w:space="0" w:color="auto"/>
            <w:bottom w:val="none" w:sz="0" w:space="0" w:color="auto"/>
            <w:right w:val="none" w:sz="0" w:space="0" w:color="auto"/>
          </w:divBdr>
          <w:divsChild>
            <w:div w:id="1219363987">
              <w:marLeft w:val="0"/>
              <w:marRight w:val="0"/>
              <w:marTop w:val="0"/>
              <w:marBottom w:val="0"/>
              <w:divBdr>
                <w:top w:val="none" w:sz="0" w:space="0" w:color="auto"/>
                <w:left w:val="none" w:sz="0" w:space="0" w:color="auto"/>
                <w:bottom w:val="none" w:sz="0" w:space="0" w:color="auto"/>
                <w:right w:val="none" w:sz="0" w:space="0" w:color="auto"/>
              </w:divBdr>
              <w:divsChild>
                <w:div w:id="1863011028">
                  <w:marLeft w:val="0"/>
                  <w:marRight w:val="0"/>
                  <w:marTop w:val="0"/>
                  <w:marBottom w:val="0"/>
                  <w:divBdr>
                    <w:top w:val="none" w:sz="0" w:space="0" w:color="auto"/>
                    <w:left w:val="none" w:sz="0" w:space="0" w:color="auto"/>
                    <w:bottom w:val="none" w:sz="0" w:space="0" w:color="auto"/>
                    <w:right w:val="none" w:sz="0" w:space="0" w:color="auto"/>
                  </w:divBdr>
                  <w:divsChild>
                    <w:div w:id="1691101827">
                      <w:marLeft w:val="0"/>
                      <w:marRight w:val="0"/>
                      <w:marTop w:val="0"/>
                      <w:marBottom w:val="0"/>
                      <w:divBdr>
                        <w:top w:val="none" w:sz="0" w:space="0" w:color="auto"/>
                        <w:left w:val="none" w:sz="0" w:space="0" w:color="auto"/>
                        <w:bottom w:val="none" w:sz="0" w:space="0" w:color="auto"/>
                        <w:right w:val="none" w:sz="0" w:space="0" w:color="auto"/>
                      </w:divBdr>
                      <w:divsChild>
                        <w:div w:id="1433428181">
                          <w:marLeft w:val="0"/>
                          <w:marRight w:val="0"/>
                          <w:marTop w:val="0"/>
                          <w:marBottom w:val="0"/>
                          <w:divBdr>
                            <w:top w:val="none" w:sz="0" w:space="0" w:color="auto"/>
                            <w:left w:val="none" w:sz="0" w:space="0" w:color="auto"/>
                            <w:bottom w:val="none" w:sz="0" w:space="0" w:color="auto"/>
                            <w:right w:val="none" w:sz="0" w:space="0" w:color="auto"/>
                          </w:divBdr>
                          <w:divsChild>
                            <w:div w:id="1614896697">
                              <w:marLeft w:val="0"/>
                              <w:marRight w:val="0"/>
                              <w:marTop w:val="0"/>
                              <w:marBottom w:val="0"/>
                              <w:divBdr>
                                <w:top w:val="none" w:sz="0" w:space="0" w:color="auto"/>
                                <w:left w:val="none" w:sz="0" w:space="0" w:color="auto"/>
                                <w:bottom w:val="none" w:sz="0" w:space="0" w:color="auto"/>
                                <w:right w:val="none" w:sz="0" w:space="0" w:color="auto"/>
                              </w:divBdr>
                              <w:divsChild>
                                <w:div w:id="122847216">
                                  <w:marLeft w:val="0"/>
                                  <w:marRight w:val="0"/>
                                  <w:marTop w:val="0"/>
                                  <w:marBottom w:val="240"/>
                                  <w:divBdr>
                                    <w:top w:val="none" w:sz="0" w:space="0" w:color="auto"/>
                                    <w:left w:val="none" w:sz="0" w:space="0" w:color="auto"/>
                                    <w:bottom w:val="none" w:sz="0" w:space="0" w:color="auto"/>
                                    <w:right w:val="none" w:sz="0" w:space="0" w:color="auto"/>
                                  </w:divBdr>
                                  <w:divsChild>
                                    <w:div w:id="1251085346">
                                      <w:marLeft w:val="0"/>
                                      <w:marRight w:val="0"/>
                                      <w:marTop w:val="0"/>
                                      <w:marBottom w:val="0"/>
                                      <w:divBdr>
                                        <w:top w:val="none" w:sz="0" w:space="0" w:color="auto"/>
                                        <w:left w:val="none" w:sz="0" w:space="0" w:color="auto"/>
                                        <w:bottom w:val="none" w:sz="0" w:space="0" w:color="auto"/>
                                        <w:right w:val="none" w:sz="0" w:space="0" w:color="auto"/>
                                      </w:divBdr>
                                    </w:div>
                                  </w:divsChild>
                                </w:div>
                                <w:div w:id="793595607">
                                  <w:marLeft w:val="0"/>
                                  <w:marRight w:val="0"/>
                                  <w:marTop w:val="0"/>
                                  <w:marBottom w:val="0"/>
                                  <w:divBdr>
                                    <w:top w:val="none" w:sz="0" w:space="0" w:color="auto"/>
                                    <w:left w:val="none" w:sz="0" w:space="0" w:color="auto"/>
                                    <w:bottom w:val="none" w:sz="0" w:space="0" w:color="auto"/>
                                    <w:right w:val="none" w:sz="0" w:space="0" w:color="auto"/>
                                  </w:divBdr>
                                  <w:divsChild>
                                    <w:div w:id="491065356">
                                      <w:marLeft w:val="0"/>
                                      <w:marRight w:val="0"/>
                                      <w:marTop w:val="0"/>
                                      <w:marBottom w:val="0"/>
                                      <w:divBdr>
                                        <w:top w:val="none" w:sz="0" w:space="0" w:color="auto"/>
                                        <w:left w:val="none" w:sz="0" w:space="0" w:color="auto"/>
                                        <w:bottom w:val="none" w:sz="0" w:space="0" w:color="auto"/>
                                        <w:right w:val="none" w:sz="0" w:space="0" w:color="auto"/>
                                      </w:divBdr>
                                      <w:divsChild>
                                        <w:div w:id="217665299">
                                          <w:marLeft w:val="0"/>
                                          <w:marRight w:val="0"/>
                                          <w:marTop w:val="0"/>
                                          <w:marBottom w:val="0"/>
                                          <w:divBdr>
                                            <w:top w:val="none" w:sz="0" w:space="0" w:color="auto"/>
                                            <w:left w:val="none" w:sz="0" w:space="0" w:color="auto"/>
                                            <w:bottom w:val="none" w:sz="0" w:space="0" w:color="auto"/>
                                            <w:right w:val="none" w:sz="0" w:space="0" w:color="auto"/>
                                          </w:divBdr>
                                          <w:divsChild>
                                            <w:div w:id="1549948274">
                                              <w:marLeft w:val="0"/>
                                              <w:marRight w:val="0"/>
                                              <w:marTop w:val="0"/>
                                              <w:marBottom w:val="0"/>
                                              <w:divBdr>
                                                <w:top w:val="none" w:sz="0" w:space="0" w:color="auto"/>
                                                <w:left w:val="none" w:sz="0" w:space="0" w:color="auto"/>
                                                <w:bottom w:val="none" w:sz="0" w:space="0" w:color="auto"/>
                                                <w:right w:val="none" w:sz="0" w:space="0" w:color="auto"/>
                                              </w:divBdr>
                                              <w:divsChild>
                                                <w:div w:id="1117062013">
                                                  <w:marLeft w:val="0"/>
                                                  <w:marRight w:val="0"/>
                                                  <w:marTop w:val="0"/>
                                                  <w:marBottom w:val="0"/>
                                                  <w:divBdr>
                                                    <w:top w:val="none" w:sz="0" w:space="0" w:color="auto"/>
                                                    <w:left w:val="none" w:sz="0" w:space="0" w:color="auto"/>
                                                    <w:bottom w:val="none" w:sz="0" w:space="0" w:color="auto"/>
                                                    <w:right w:val="none" w:sz="0" w:space="0" w:color="auto"/>
                                                  </w:divBdr>
                                                </w:div>
                                              </w:divsChild>
                                            </w:div>
                                            <w:div w:id="72129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8231761">
                                  <w:marLeft w:val="0"/>
                                  <w:marRight w:val="0"/>
                                  <w:marTop w:val="0"/>
                                  <w:marBottom w:val="0"/>
                                  <w:divBdr>
                                    <w:top w:val="none" w:sz="0" w:space="0" w:color="auto"/>
                                    <w:left w:val="none" w:sz="0" w:space="0" w:color="auto"/>
                                    <w:bottom w:val="none" w:sz="0" w:space="0" w:color="auto"/>
                                    <w:right w:val="none" w:sz="0" w:space="0" w:color="auto"/>
                                  </w:divBdr>
                                  <w:divsChild>
                                    <w:div w:id="362637357">
                                      <w:marLeft w:val="0"/>
                                      <w:marRight w:val="0"/>
                                      <w:marTop w:val="0"/>
                                      <w:marBottom w:val="0"/>
                                      <w:divBdr>
                                        <w:top w:val="none" w:sz="0" w:space="0" w:color="auto"/>
                                        <w:left w:val="none" w:sz="0" w:space="0" w:color="auto"/>
                                        <w:bottom w:val="none" w:sz="0" w:space="0" w:color="auto"/>
                                        <w:right w:val="none" w:sz="0" w:space="0" w:color="auto"/>
                                      </w:divBdr>
                                      <w:divsChild>
                                        <w:div w:id="611742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73655278">
          <w:marLeft w:val="1899"/>
          <w:marRight w:val="0"/>
          <w:marTop w:val="0"/>
          <w:marBottom w:val="0"/>
          <w:divBdr>
            <w:top w:val="none" w:sz="0" w:space="0" w:color="auto"/>
            <w:left w:val="none" w:sz="0" w:space="0" w:color="auto"/>
            <w:bottom w:val="none" w:sz="0" w:space="0" w:color="auto"/>
            <w:right w:val="none" w:sz="0" w:space="0" w:color="auto"/>
          </w:divBdr>
        </w:div>
        <w:div w:id="1636719138">
          <w:marLeft w:val="1899"/>
          <w:marRight w:val="0"/>
          <w:marTop w:val="0"/>
          <w:marBottom w:val="0"/>
          <w:divBdr>
            <w:top w:val="none" w:sz="0" w:space="0" w:color="auto"/>
            <w:left w:val="none" w:sz="0" w:space="0" w:color="auto"/>
            <w:bottom w:val="none" w:sz="0" w:space="0" w:color="auto"/>
            <w:right w:val="none" w:sz="0" w:space="0" w:color="auto"/>
          </w:divBdr>
          <w:divsChild>
            <w:div w:id="562062729">
              <w:marLeft w:val="0"/>
              <w:marRight w:val="0"/>
              <w:marTop w:val="480"/>
              <w:marBottom w:val="0"/>
              <w:divBdr>
                <w:top w:val="none" w:sz="0" w:space="0" w:color="auto"/>
                <w:left w:val="none" w:sz="0" w:space="0" w:color="auto"/>
                <w:bottom w:val="none" w:sz="0" w:space="0" w:color="auto"/>
                <w:right w:val="none" w:sz="0" w:space="0" w:color="auto"/>
              </w:divBdr>
              <w:divsChild>
                <w:div w:id="1914003500">
                  <w:marLeft w:val="0"/>
                  <w:marRight w:val="0"/>
                  <w:marTop w:val="0"/>
                  <w:marBottom w:val="0"/>
                  <w:divBdr>
                    <w:top w:val="none" w:sz="0" w:space="0" w:color="auto"/>
                    <w:left w:val="none" w:sz="0" w:space="0" w:color="auto"/>
                    <w:bottom w:val="none" w:sz="0" w:space="0" w:color="auto"/>
                    <w:right w:val="none" w:sz="0" w:space="0" w:color="auto"/>
                  </w:divBdr>
                  <w:divsChild>
                    <w:div w:id="159204417">
                      <w:marLeft w:val="0"/>
                      <w:marRight w:val="0"/>
                      <w:marTop w:val="0"/>
                      <w:marBottom w:val="0"/>
                      <w:divBdr>
                        <w:top w:val="none" w:sz="0" w:space="0" w:color="auto"/>
                        <w:left w:val="none" w:sz="0" w:space="0" w:color="auto"/>
                        <w:bottom w:val="none" w:sz="0" w:space="0" w:color="auto"/>
                        <w:right w:val="none" w:sz="0" w:space="0" w:color="auto"/>
                      </w:divBdr>
                      <w:divsChild>
                        <w:div w:id="1458182730">
                          <w:marLeft w:val="0"/>
                          <w:marRight w:val="0"/>
                          <w:marTop w:val="0"/>
                          <w:marBottom w:val="0"/>
                          <w:divBdr>
                            <w:top w:val="none" w:sz="0" w:space="0" w:color="auto"/>
                            <w:left w:val="none" w:sz="0" w:space="0" w:color="auto"/>
                            <w:bottom w:val="none" w:sz="0" w:space="0" w:color="auto"/>
                            <w:right w:val="none" w:sz="0" w:space="0" w:color="auto"/>
                          </w:divBdr>
                        </w:div>
                      </w:divsChild>
                    </w:div>
                    <w:div w:id="1640188145">
                      <w:marLeft w:val="0"/>
                      <w:marRight w:val="0"/>
                      <w:marTop w:val="0"/>
                      <w:marBottom w:val="0"/>
                      <w:divBdr>
                        <w:top w:val="none" w:sz="0" w:space="0" w:color="auto"/>
                        <w:left w:val="none" w:sz="0" w:space="0" w:color="auto"/>
                        <w:bottom w:val="none" w:sz="0" w:space="0" w:color="auto"/>
                        <w:right w:val="none" w:sz="0" w:space="0" w:color="auto"/>
                      </w:divBdr>
                      <w:divsChild>
                        <w:div w:id="1033384729">
                          <w:marLeft w:val="0"/>
                          <w:marRight w:val="0"/>
                          <w:marTop w:val="0"/>
                          <w:marBottom w:val="0"/>
                          <w:divBdr>
                            <w:top w:val="none" w:sz="0" w:space="0" w:color="auto"/>
                            <w:left w:val="none" w:sz="0" w:space="0" w:color="auto"/>
                            <w:bottom w:val="none" w:sz="0" w:space="0" w:color="auto"/>
                            <w:right w:val="none" w:sz="0" w:space="0" w:color="auto"/>
                          </w:divBdr>
                          <w:divsChild>
                            <w:div w:id="637881524">
                              <w:marLeft w:val="0"/>
                              <w:marRight w:val="0"/>
                              <w:marTop w:val="0"/>
                              <w:marBottom w:val="0"/>
                              <w:divBdr>
                                <w:top w:val="none" w:sz="0" w:space="0" w:color="auto"/>
                                <w:left w:val="none" w:sz="0" w:space="0" w:color="auto"/>
                                <w:bottom w:val="none" w:sz="0" w:space="0" w:color="auto"/>
                                <w:right w:val="none" w:sz="0" w:space="0" w:color="auto"/>
                              </w:divBdr>
                              <w:divsChild>
                                <w:div w:id="222645584">
                                  <w:marLeft w:val="0"/>
                                  <w:marRight w:val="0"/>
                                  <w:marTop w:val="0"/>
                                  <w:marBottom w:val="0"/>
                                  <w:divBdr>
                                    <w:top w:val="none" w:sz="0" w:space="0" w:color="auto"/>
                                    <w:left w:val="none" w:sz="0" w:space="0" w:color="auto"/>
                                    <w:bottom w:val="none" w:sz="0" w:space="0" w:color="auto"/>
                                    <w:right w:val="none" w:sz="0" w:space="0" w:color="auto"/>
                                  </w:divBdr>
                                </w:div>
                              </w:divsChild>
                            </w:div>
                            <w:div w:id="1275942659">
                              <w:marLeft w:val="0"/>
                              <w:marRight w:val="0"/>
                              <w:marTop w:val="0"/>
                              <w:marBottom w:val="0"/>
                              <w:divBdr>
                                <w:top w:val="none" w:sz="0" w:space="0" w:color="auto"/>
                                <w:left w:val="none" w:sz="0" w:space="0" w:color="auto"/>
                                <w:bottom w:val="none" w:sz="0" w:space="0" w:color="auto"/>
                                <w:right w:val="none" w:sz="0" w:space="0" w:color="auto"/>
                              </w:divBdr>
                              <w:divsChild>
                                <w:div w:id="2069379381">
                                  <w:marLeft w:val="0"/>
                                  <w:marRight w:val="0"/>
                                  <w:marTop w:val="0"/>
                                  <w:marBottom w:val="0"/>
                                  <w:divBdr>
                                    <w:top w:val="none" w:sz="0" w:space="0" w:color="auto"/>
                                    <w:left w:val="none" w:sz="0" w:space="0" w:color="auto"/>
                                    <w:bottom w:val="none" w:sz="0" w:space="0" w:color="auto"/>
                                    <w:right w:val="none" w:sz="0" w:space="0" w:color="auto"/>
                                  </w:divBdr>
                                  <w:divsChild>
                                    <w:div w:id="266470727">
                                      <w:marLeft w:val="0"/>
                                      <w:marRight w:val="0"/>
                                      <w:marTop w:val="0"/>
                                      <w:marBottom w:val="0"/>
                                      <w:divBdr>
                                        <w:top w:val="none" w:sz="0" w:space="0" w:color="auto"/>
                                        <w:left w:val="none" w:sz="0" w:space="0" w:color="auto"/>
                                        <w:bottom w:val="none" w:sz="0" w:space="0" w:color="auto"/>
                                        <w:right w:val="none" w:sz="0" w:space="0" w:color="auto"/>
                                      </w:divBdr>
                                      <w:divsChild>
                                        <w:div w:id="956570670">
                                          <w:marLeft w:val="0"/>
                                          <w:marRight w:val="0"/>
                                          <w:marTop w:val="120"/>
                                          <w:marBottom w:val="0"/>
                                          <w:divBdr>
                                            <w:top w:val="none" w:sz="0" w:space="0" w:color="auto"/>
                                            <w:left w:val="none" w:sz="0" w:space="0" w:color="auto"/>
                                            <w:bottom w:val="none" w:sz="0" w:space="0" w:color="auto"/>
                                            <w:right w:val="none" w:sz="0" w:space="0" w:color="auto"/>
                                          </w:divBdr>
                                        </w:div>
                                      </w:divsChild>
                                    </w:div>
                                    <w:div w:id="1038237860">
                                      <w:marLeft w:val="0"/>
                                      <w:marRight w:val="0"/>
                                      <w:marTop w:val="0"/>
                                      <w:marBottom w:val="0"/>
                                      <w:divBdr>
                                        <w:top w:val="none" w:sz="0" w:space="0" w:color="auto"/>
                                        <w:left w:val="none" w:sz="0" w:space="0" w:color="auto"/>
                                        <w:bottom w:val="none" w:sz="0" w:space="0" w:color="auto"/>
                                        <w:right w:val="none" w:sz="0" w:space="0" w:color="auto"/>
                                      </w:divBdr>
                                      <w:divsChild>
                                        <w:div w:id="1873376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1848506">
                              <w:marLeft w:val="0"/>
                              <w:marRight w:val="0"/>
                              <w:marTop w:val="0"/>
                              <w:marBottom w:val="0"/>
                              <w:divBdr>
                                <w:top w:val="none" w:sz="0" w:space="0" w:color="auto"/>
                                <w:left w:val="none" w:sz="0" w:space="0" w:color="auto"/>
                                <w:bottom w:val="none" w:sz="0" w:space="0" w:color="auto"/>
                                <w:right w:val="none" w:sz="0" w:space="0" w:color="auto"/>
                              </w:divBdr>
                              <w:divsChild>
                                <w:div w:id="346031339">
                                  <w:marLeft w:val="0"/>
                                  <w:marRight w:val="0"/>
                                  <w:marTop w:val="0"/>
                                  <w:marBottom w:val="0"/>
                                  <w:divBdr>
                                    <w:top w:val="none" w:sz="0" w:space="0" w:color="auto"/>
                                    <w:left w:val="none" w:sz="0" w:space="0" w:color="auto"/>
                                    <w:bottom w:val="none" w:sz="0" w:space="0" w:color="auto"/>
                                    <w:right w:val="none" w:sz="0" w:space="0" w:color="auto"/>
                                  </w:divBdr>
                                  <w:divsChild>
                                    <w:div w:id="1383142158">
                                      <w:marLeft w:val="0"/>
                                      <w:marRight w:val="0"/>
                                      <w:marTop w:val="0"/>
                                      <w:marBottom w:val="0"/>
                                      <w:divBdr>
                                        <w:top w:val="none" w:sz="0" w:space="0" w:color="auto"/>
                                        <w:left w:val="none" w:sz="0" w:space="0" w:color="auto"/>
                                        <w:bottom w:val="none" w:sz="0" w:space="0" w:color="auto"/>
                                        <w:right w:val="none" w:sz="0" w:space="0" w:color="auto"/>
                                      </w:divBdr>
                                      <w:divsChild>
                                        <w:div w:id="1085609147">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129200927">
                              <w:marLeft w:val="0"/>
                              <w:marRight w:val="0"/>
                              <w:marTop w:val="0"/>
                              <w:marBottom w:val="0"/>
                              <w:divBdr>
                                <w:top w:val="none" w:sz="0" w:space="0" w:color="auto"/>
                                <w:left w:val="none" w:sz="0" w:space="0" w:color="auto"/>
                                <w:bottom w:val="none" w:sz="0" w:space="0" w:color="auto"/>
                                <w:right w:val="none" w:sz="0" w:space="0" w:color="auto"/>
                              </w:divBdr>
                              <w:divsChild>
                                <w:div w:id="2018069422">
                                  <w:marLeft w:val="0"/>
                                  <w:marRight w:val="0"/>
                                  <w:marTop w:val="0"/>
                                  <w:marBottom w:val="0"/>
                                  <w:divBdr>
                                    <w:top w:val="none" w:sz="0" w:space="0" w:color="auto"/>
                                    <w:left w:val="none" w:sz="0" w:space="0" w:color="auto"/>
                                    <w:bottom w:val="none" w:sz="0" w:space="0" w:color="auto"/>
                                    <w:right w:val="none" w:sz="0" w:space="0" w:color="auto"/>
                                  </w:divBdr>
                                  <w:divsChild>
                                    <w:div w:id="1522818583">
                                      <w:marLeft w:val="0"/>
                                      <w:marRight w:val="0"/>
                                      <w:marTop w:val="0"/>
                                      <w:marBottom w:val="0"/>
                                      <w:divBdr>
                                        <w:top w:val="none" w:sz="0" w:space="0" w:color="auto"/>
                                        <w:left w:val="none" w:sz="0" w:space="0" w:color="auto"/>
                                        <w:bottom w:val="none" w:sz="0" w:space="0" w:color="auto"/>
                                        <w:right w:val="none" w:sz="0" w:space="0" w:color="auto"/>
                                      </w:divBdr>
                                      <w:divsChild>
                                        <w:div w:id="1877547712">
                                          <w:marLeft w:val="0"/>
                                          <w:marRight w:val="0"/>
                                          <w:marTop w:val="120"/>
                                          <w:marBottom w:val="0"/>
                                          <w:divBdr>
                                            <w:top w:val="none" w:sz="0" w:space="0" w:color="auto"/>
                                            <w:left w:val="none" w:sz="0" w:space="0" w:color="auto"/>
                                            <w:bottom w:val="none" w:sz="0" w:space="0" w:color="auto"/>
                                            <w:right w:val="none" w:sz="0" w:space="0" w:color="auto"/>
                                          </w:divBdr>
                                        </w:div>
                                      </w:divsChild>
                                    </w:div>
                                    <w:div w:id="201018083">
                                      <w:marLeft w:val="0"/>
                                      <w:marRight w:val="0"/>
                                      <w:marTop w:val="0"/>
                                      <w:marBottom w:val="0"/>
                                      <w:divBdr>
                                        <w:top w:val="none" w:sz="0" w:space="0" w:color="auto"/>
                                        <w:left w:val="none" w:sz="0" w:space="0" w:color="auto"/>
                                        <w:bottom w:val="none" w:sz="0" w:space="0" w:color="auto"/>
                                        <w:right w:val="none" w:sz="0" w:space="0" w:color="auto"/>
                                      </w:divBdr>
                                      <w:divsChild>
                                        <w:div w:id="122680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566376">
          <w:marLeft w:val="1899"/>
          <w:marRight w:val="0"/>
          <w:marTop w:val="0"/>
          <w:marBottom w:val="0"/>
          <w:divBdr>
            <w:top w:val="none" w:sz="0" w:space="0" w:color="auto"/>
            <w:left w:val="none" w:sz="0" w:space="0" w:color="auto"/>
            <w:bottom w:val="none" w:sz="0" w:space="0" w:color="auto"/>
            <w:right w:val="none" w:sz="0" w:space="0" w:color="auto"/>
          </w:divBdr>
          <w:divsChild>
            <w:div w:id="1887134267">
              <w:marLeft w:val="0"/>
              <w:marRight w:val="480"/>
              <w:marTop w:val="480"/>
              <w:marBottom w:val="0"/>
              <w:divBdr>
                <w:top w:val="none" w:sz="0" w:space="0" w:color="auto"/>
                <w:left w:val="none" w:sz="0" w:space="0" w:color="auto"/>
                <w:bottom w:val="none" w:sz="0" w:space="0" w:color="auto"/>
                <w:right w:val="none" w:sz="0" w:space="0" w:color="auto"/>
              </w:divBdr>
              <w:divsChild>
                <w:div w:id="2049522525">
                  <w:marLeft w:val="0"/>
                  <w:marRight w:val="0"/>
                  <w:marTop w:val="0"/>
                  <w:marBottom w:val="0"/>
                  <w:divBdr>
                    <w:top w:val="none" w:sz="0" w:space="0" w:color="auto"/>
                    <w:left w:val="none" w:sz="0" w:space="0" w:color="auto"/>
                    <w:bottom w:val="none" w:sz="0" w:space="0" w:color="auto"/>
                    <w:right w:val="none" w:sz="0" w:space="0" w:color="auto"/>
                  </w:divBdr>
                  <w:divsChild>
                    <w:div w:id="1500077847">
                      <w:marLeft w:val="0"/>
                      <w:marRight w:val="0"/>
                      <w:marTop w:val="0"/>
                      <w:marBottom w:val="0"/>
                      <w:divBdr>
                        <w:top w:val="none" w:sz="0" w:space="0" w:color="auto"/>
                        <w:left w:val="none" w:sz="0" w:space="0" w:color="auto"/>
                        <w:bottom w:val="none" w:sz="0" w:space="0" w:color="auto"/>
                        <w:right w:val="none" w:sz="0" w:space="0" w:color="auto"/>
                      </w:divBdr>
                      <w:divsChild>
                        <w:div w:id="2107577828">
                          <w:marLeft w:val="0"/>
                          <w:marRight w:val="0"/>
                          <w:marTop w:val="0"/>
                          <w:marBottom w:val="0"/>
                          <w:divBdr>
                            <w:top w:val="none" w:sz="0" w:space="0" w:color="auto"/>
                            <w:left w:val="none" w:sz="0" w:space="0" w:color="auto"/>
                            <w:bottom w:val="none" w:sz="0" w:space="0" w:color="auto"/>
                            <w:right w:val="none" w:sz="0" w:space="0" w:color="auto"/>
                          </w:divBdr>
                        </w:div>
                      </w:divsChild>
                    </w:div>
                    <w:div w:id="224529575">
                      <w:marLeft w:val="0"/>
                      <w:marRight w:val="0"/>
                      <w:marTop w:val="0"/>
                      <w:marBottom w:val="0"/>
                      <w:divBdr>
                        <w:top w:val="none" w:sz="0" w:space="0" w:color="auto"/>
                        <w:left w:val="none" w:sz="0" w:space="0" w:color="auto"/>
                        <w:bottom w:val="none" w:sz="0" w:space="0" w:color="auto"/>
                        <w:right w:val="none" w:sz="0" w:space="0" w:color="auto"/>
                      </w:divBdr>
                      <w:divsChild>
                        <w:div w:id="783118584">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310599572">
                              <w:marLeft w:val="0"/>
                              <w:marRight w:val="0"/>
                              <w:marTop w:val="0"/>
                              <w:marBottom w:val="120"/>
                              <w:divBdr>
                                <w:top w:val="none" w:sz="0" w:space="0" w:color="auto"/>
                                <w:left w:val="none" w:sz="0" w:space="0" w:color="auto"/>
                                <w:bottom w:val="none" w:sz="0" w:space="0" w:color="auto"/>
                                <w:right w:val="none" w:sz="0" w:space="0" w:color="auto"/>
                              </w:divBdr>
                            </w:div>
                            <w:div w:id="1548295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9715712">
          <w:marLeft w:val="0"/>
          <w:marRight w:val="0"/>
          <w:marTop w:val="0"/>
          <w:marBottom w:val="0"/>
          <w:divBdr>
            <w:top w:val="none" w:sz="0" w:space="0" w:color="auto"/>
            <w:left w:val="none" w:sz="0" w:space="0" w:color="auto"/>
            <w:bottom w:val="none" w:sz="0" w:space="0" w:color="auto"/>
            <w:right w:val="none" w:sz="0" w:space="0" w:color="auto"/>
          </w:divBdr>
          <w:divsChild>
            <w:div w:id="1361779784">
              <w:marLeft w:val="480"/>
              <w:marRight w:val="0"/>
              <w:marTop w:val="480"/>
              <w:marBottom w:val="0"/>
              <w:divBdr>
                <w:top w:val="none" w:sz="0" w:space="0" w:color="auto"/>
                <w:left w:val="none" w:sz="0" w:space="0" w:color="auto"/>
                <w:bottom w:val="none" w:sz="0" w:space="0" w:color="auto"/>
                <w:right w:val="none" w:sz="0" w:space="0" w:color="auto"/>
              </w:divBdr>
              <w:divsChild>
                <w:div w:id="523130571">
                  <w:marLeft w:val="0"/>
                  <w:marRight w:val="0"/>
                  <w:marTop w:val="0"/>
                  <w:marBottom w:val="0"/>
                  <w:divBdr>
                    <w:top w:val="none" w:sz="0" w:space="0" w:color="auto"/>
                    <w:left w:val="none" w:sz="0" w:space="0" w:color="auto"/>
                    <w:bottom w:val="none" w:sz="0" w:space="0" w:color="auto"/>
                    <w:right w:val="none" w:sz="0" w:space="0" w:color="auto"/>
                  </w:divBdr>
                  <w:divsChild>
                    <w:div w:id="1423601090">
                      <w:marLeft w:val="0"/>
                      <w:marRight w:val="0"/>
                      <w:marTop w:val="0"/>
                      <w:marBottom w:val="0"/>
                      <w:divBdr>
                        <w:top w:val="none" w:sz="0" w:space="0" w:color="auto"/>
                        <w:left w:val="none" w:sz="0" w:space="0" w:color="auto"/>
                        <w:bottom w:val="none" w:sz="0" w:space="0" w:color="auto"/>
                        <w:right w:val="none" w:sz="0" w:space="0" w:color="auto"/>
                      </w:divBdr>
                      <w:divsChild>
                        <w:div w:id="611743771">
                          <w:marLeft w:val="0"/>
                          <w:marRight w:val="0"/>
                          <w:marTop w:val="0"/>
                          <w:marBottom w:val="0"/>
                          <w:divBdr>
                            <w:top w:val="none" w:sz="0" w:space="0" w:color="auto"/>
                            <w:left w:val="none" w:sz="0" w:space="0" w:color="auto"/>
                            <w:bottom w:val="none" w:sz="0" w:space="0" w:color="auto"/>
                            <w:right w:val="none" w:sz="0" w:space="0" w:color="auto"/>
                          </w:divBdr>
                        </w:div>
                      </w:divsChild>
                    </w:div>
                    <w:div w:id="1654873672">
                      <w:marLeft w:val="0"/>
                      <w:marRight w:val="0"/>
                      <w:marTop w:val="0"/>
                      <w:marBottom w:val="0"/>
                      <w:divBdr>
                        <w:top w:val="none" w:sz="0" w:space="0" w:color="auto"/>
                        <w:left w:val="none" w:sz="0" w:space="0" w:color="auto"/>
                        <w:bottom w:val="none" w:sz="0" w:space="0" w:color="auto"/>
                        <w:right w:val="none" w:sz="0" w:space="0" w:color="auto"/>
                      </w:divBdr>
                      <w:divsChild>
                        <w:div w:id="1287352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10808592">
      <w:bodyDiv w:val="1"/>
      <w:marLeft w:val="0"/>
      <w:marRight w:val="0"/>
      <w:marTop w:val="0"/>
      <w:marBottom w:val="0"/>
      <w:divBdr>
        <w:top w:val="none" w:sz="0" w:space="0" w:color="auto"/>
        <w:left w:val="none" w:sz="0" w:space="0" w:color="auto"/>
        <w:bottom w:val="none" w:sz="0" w:space="0" w:color="auto"/>
        <w:right w:val="none" w:sz="0" w:space="0" w:color="auto"/>
      </w:divBdr>
      <w:divsChild>
        <w:div w:id="941037660">
          <w:marLeft w:val="0"/>
          <w:marRight w:val="0"/>
          <w:marTop w:val="0"/>
          <w:marBottom w:val="0"/>
          <w:divBdr>
            <w:top w:val="none" w:sz="0" w:space="0" w:color="auto"/>
            <w:left w:val="none" w:sz="0" w:space="0" w:color="auto"/>
            <w:bottom w:val="none" w:sz="0" w:space="0" w:color="auto"/>
            <w:right w:val="none" w:sz="0" w:space="0" w:color="auto"/>
          </w:divBdr>
          <w:divsChild>
            <w:div w:id="2132089928">
              <w:marLeft w:val="0"/>
              <w:marRight w:val="0"/>
              <w:marTop w:val="0"/>
              <w:marBottom w:val="0"/>
              <w:divBdr>
                <w:top w:val="none" w:sz="0" w:space="0" w:color="auto"/>
                <w:left w:val="none" w:sz="0" w:space="0" w:color="auto"/>
                <w:bottom w:val="none" w:sz="0" w:space="0" w:color="auto"/>
                <w:right w:val="none" w:sz="0" w:space="0" w:color="auto"/>
              </w:divBdr>
              <w:divsChild>
                <w:div w:id="371928167">
                  <w:marLeft w:val="0"/>
                  <w:marRight w:val="0"/>
                  <w:marTop w:val="0"/>
                  <w:marBottom w:val="0"/>
                  <w:divBdr>
                    <w:top w:val="none" w:sz="0" w:space="0" w:color="auto"/>
                    <w:left w:val="none" w:sz="0" w:space="0" w:color="auto"/>
                    <w:bottom w:val="none" w:sz="0" w:space="0" w:color="auto"/>
                    <w:right w:val="none" w:sz="0" w:space="0" w:color="auto"/>
                  </w:divBdr>
                </w:div>
              </w:divsChild>
            </w:div>
            <w:div w:id="1814911080">
              <w:marLeft w:val="0"/>
              <w:marRight w:val="0"/>
              <w:marTop w:val="0"/>
              <w:marBottom w:val="0"/>
              <w:divBdr>
                <w:top w:val="none" w:sz="0" w:space="0" w:color="auto"/>
                <w:left w:val="none" w:sz="0" w:space="0" w:color="auto"/>
                <w:bottom w:val="none" w:sz="0" w:space="0" w:color="auto"/>
                <w:right w:val="none" w:sz="0" w:space="0" w:color="auto"/>
              </w:divBdr>
              <w:divsChild>
                <w:div w:id="31982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723977">
          <w:marLeft w:val="0"/>
          <w:marRight w:val="0"/>
          <w:marTop w:val="0"/>
          <w:marBottom w:val="0"/>
          <w:divBdr>
            <w:top w:val="none" w:sz="0" w:space="0" w:color="auto"/>
            <w:left w:val="none" w:sz="0" w:space="0" w:color="auto"/>
            <w:bottom w:val="none" w:sz="0" w:space="0" w:color="auto"/>
            <w:right w:val="none" w:sz="0" w:space="0" w:color="auto"/>
          </w:divBdr>
          <w:divsChild>
            <w:div w:id="363482505">
              <w:marLeft w:val="-225"/>
              <w:marRight w:val="-225"/>
              <w:marTop w:val="0"/>
              <w:marBottom w:val="0"/>
              <w:divBdr>
                <w:top w:val="none" w:sz="0" w:space="0" w:color="auto"/>
                <w:left w:val="none" w:sz="0" w:space="0" w:color="auto"/>
                <w:bottom w:val="none" w:sz="0" w:space="0" w:color="auto"/>
                <w:right w:val="none" w:sz="0" w:space="0" w:color="auto"/>
              </w:divBdr>
              <w:divsChild>
                <w:div w:id="1725178151">
                  <w:marLeft w:val="0"/>
                  <w:marRight w:val="0"/>
                  <w:marTop w:val="0"/>
                  <w:marBottom w:val="0"/>
                  <w:divBdr>
                    <w:top w:val="none" w:sz="0" w:space="0" w:color="auto"/>
                    <w:left w:val="none" w:sz="0" w:space="0" w:color="auto"/>
                    <w:bottom w:val="none" w:sz="0" w:space="0" w:color="auto"/>
                    <w:right w:val="none" w:sz="0" w:space="0" w:color="auto"/>
                  </w:divBdr>
                  <w:divsChild>
                    <w:div w:id="393239097">
                      <w:marLeft w:val="0"/>
                      <w:marRight w:val="0"/>
                      <w:marTop w:val="0"/>
                      <w:marBottom w:val="0"/>
                      <w:divBdr>
                        <w:top w:val="none" w:sz="0" w:space="0" w:color="auto"/>
                        <w:left w:val="none" w:sz="0" w:space="0" w:color="auto"/>
                        <w:bottom w:val="none" w:sz="0" w:space="0" w:color="auto"/>
                        <w:right w:val="none" w:sz="0" w:space="0" w:color="auto"/>
                      </w:divBdr>
                      <w:divsChild>
                        <w:div w:id="583415387">
                          <w:marLeft w:val="0"/>
                          <w:marRight w:val="0"/>
                          <w:marTop w:val="0"/>
                          <w:marBottom w:val="0"/>
                          <w:divBdr>
                            <w:top w:val="none" w:sz="0" w:space="0" w:color="auto"/>
                            <w:left w:val="none" w:sz="0" w:space="0" w:color="auto"/>
                            <w:bottom w:val="none" w:sz="0" w:space="0" w:color="auto"/>
                            <w:right w:val="none" w:sz="0" w:space="0" w:color="auto"/>
                          </w:divBdr>
                          <w:divsChild>
                            <w:div w:id="209155461">
                              <w:marLeft w:val="0"/>
                              <w:marRight w:val="0"/>
                              <w:marTop w:val="0"/>
                              <w:marBottom w:val="0"/>
                              <w:divBdr>
                                <w:top w:val="none" w:sz="0" w:space="0" w:color="auto"/>
                                <w:left w:val="none" w:sz="0" w:space="0" w:color="auto"/>
                                <w:bottom w:val="none" w:sz="0" w:space="0" w:color="auto"/>
                                <w:right w:val="none" w:sz="0" w:space="0" w:color="auto"/>
                              </w:divBdr>
                            </w:div>
                          </w:divsChild>
                        </w:div>
                        <w:div w:id="1630673118">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 w:id="1777291924">
                  <w:marLeft w:val="0"/>
                  <w:marRight w:val="0"/>
                  <w:marTop w:val="0"/>
                  <w:marBottom w:val="0"/>
                  <w:divBdr>
                    <w:top w:val="none" w:sz="0" w:space="0" w:color="auto"/>
                    <w:left w:val="none" w:sz="0" w:space="0" w:color="auto"/>
                    <w:bottom w:val="none" w:sz="0" w:space="0" w:color="auto"/>
                    <w:right w:val="none" w:sz="0" w:space="0" w:color="auto"/>
                  </w:divBdr>
                  <w:divsChild>
                    <w:div w:id="1592811883">
                      <w:marLeft w:val="0"/>
                      <w:marRight w:val="0"/>
                      <w:marTop w:val="0"/>
                      <w:marBottom w:val="0"/>
                      <w:divBdr>
                        <w:top w:val="none" w:sz="0" w:space="0" w:color="auto"/>
                        <w:left w:val="none" w:sz="0" w:space="0" w:color="auto"/>
                        <w:bottom w:val="none" w:sz="0" w:space="0" w:color="auto"/>
                        <w:right w:val="none" w:sz="0" w:space="0" w:color="auto"/>
                      </w:divBdr>
                    </w:div>
                    <w:div w:id="1219323704">
                      <w:marLeft w:val="0"/>
                      <w:marRight w:val="0"/>
                      <w:marTop w:val="600"/>
                      <w:marBottom w:val="0"/>
                      <w:divBdr>
                        <w:top w:val="none" w:sz="0" w:space="0" w:color="auto"/>
                        <w:left w:val="none" w:sz="0" w:space="0" w:color="auto"/>
                        <w:bottom w:val="none" w:sz="0" w:space="0" w:color="auto"/>
                        <w:right w:val="none" w:sz="0" w:space="0" w:color="auto"/>
                      </w:divBdr>
                      <w:divsChild>
                        <w:div w:id="1918511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4006822">
      <w:bodyDiv w:val="1"/>
      <w:marLeft w:val="0"/>
      <w:marRight w:val="0"/>
      <w:marTop w:val="0"/>
      <w:marBottom w:val="0"/>
      <w:divBdr>
        <w:top w:val="none" w:sz="0" w:space="0" w:color="auto"/>
        <w:left w:val="none" w:sz="0" w:space="0" w:color="auto"/>
        <w:bottom w:val="none" w:sz="0" w:space="0" w:color="auto"/>
        <w:right w:val="none" w:sz="0" w:space="0" w:color="auto"/>
      </w:divBdr>
      <w:divsChild>
        <w:div w:id="1598296111">
          <w:marLeft w:val="0"/>
          <w:marRight w:val="0"/>
          <w:marTop w:val="0"/>
          <w:marBottom w:val="0"/>
          <w:divBdr>
            <w:top w:val="none" w:sz="0" w:space="0" w:color="auto"/>
            <w:left w:val="none" w:sz="0" w:space="0" w:color="auto"/>
            <w:bottom w:val="none" w:sz="0" w:space="0" w:color="auto"/>
            <w:right w:val="none" w:sz="0" w:space="0" w:color="auto"/>
          </w:divBdr>
          <w:divsChild>
            <w:div w:id="342518207">
              <w:marLeft w:val="0"/>
              <w:marRight w:val="0"/>
              <w:marTop w:val="0"/>
              <w:marBottom w:val="0"/>
              <w:divBdr>
                <w:top w:val="none" w:sz="0" w:space="0" w:color="auto"/>
                <w:left w:val="none" w:sz="0" w:space="0" w:color="auto"/>
                <w:bottom w:val="none" w:sz="0" w:space="0" w:color="auto"/>
                <w:right w:val="none" w:sz="0" w:space="0" w:color="auto"/>
              </w:divBdr>
              <w:divsChild>
                <w:div w:id="2133865850">
                  <w:marLeft w:val="0"/>
                  <w:marRight w:val="0"/>
                  <w:marTop w:val="0"/>
                  <w:marBottom w:val="0"/>
                  <w:divBdr>
                    <w:top w:val="none" w:sz="0" w:space="0" w:color="auto"/>
                    <w:left w:val="none" w:sz="0" w:space="0" w:color="auto"/>
                    <w:bottom w:val="none" w:sz="0" w:space="0" w:color="auto"/>
                    <w:right w:val="none" w:sz="0" w:space="0" w:color="auto"/>
                  </w:divBdr>
                  <w:divsChild>
                    <w:div w:id="560023400">
                      <w:marLeft w:val="0"/>
                      <w:marRight w:val="0"/>
                      <w:marTop w:val="0"/>
                      <w:marBottom w:val="0"/>
                      <w:divBdr>
                        <w:top w:val="none" w:sz="0" w:space="0" w:color="auto"/>
                        <w:left w:val="none" w:sz="0" w:space="0" w:color="auto"/>
                        <w:bottom w:val="none" w:sz="0" w:space="0" w:color="auto"/>
                        <w:right w:val="none" w:sz="0" w:space="0" w:color="auto"/>
                      </w:divBdr>
                      <w:divsChild>
                        <w:div w:id="1971393678">
                          <w:marLeft w:val="0"/>
                          <w:marRight w:val="0"/>
                          <w:marTop w:val="0"/>
                          <w:marBottom w:val="0"/>
                          <w:divBdr>
                            <w:top w:val="none" w:sz="0" w:space="0" w:color="auto"/>
                            <w:left w:val="none" w:sz="0" w:space="0" w:color="auto"/>
                            <w:bottom w:val="none" w:sz="0" w:space="0" w:color="auto"/>
                            <w:right w:val="none" w:sz="0" w:space="0" w:color="auto"/>
                          </w:divBdr>
                          <w:divsChild>
                            <w:div w:id="2039231391">
                              <w:marLeft w:val="0"/>
                              <w:marRight w:val="0"/>
                              <w:marTop w:val="0"/>
                              <w:marBottom w:val="0"/>
                              <w:divBdr>
                                <w:top w:val="none" w:sz="0" w:space="0" w:color="auto"/>
                                <w:left w:val="none" w:sz="0" w:space="0" w:color="auto"/>
                                <w:bottom w:val="none" w:sz="0" w:space="0" w:color="auto"/>
                                <w:right w:val="none" w:sz="0" w:space="0" w:color="auto"/>
                              </w:divBdr>
                              <w:divsChild>
                                <w:div w:id="1660040771">
                                  <w:marLeft w:val="0"/>
                                  <w:marRight w:val="0"/>
                                  <w:marTop w:val="0"/>
                                  <w:marBottom w:val="240"/>
                                  <w:divBdr>
                                    <w:top w:val="none" w:sz="0" w:space="0" w:color="auto"/>
                                    <w:left w:val="none" w:sz="0" w:space="0" w:color="auto"/>
                                    <w:bottom w:val="none" w:sz="0" w:space="0" w:color="auto"/>
                                    <w:right w:val="none" w:sz="0" w:space="0" w:color="auto"/>
                                  </w:divBdr>
                                  <w:divsChild>
                                    <w:div w:id="1226604485">
                                      <w:marLeft w:val="0"/>
                                      <w:marRight w:val="0"/>
                                      <w:marTop w:val="0"/>
                                      <w:marBottom w:val="0"/>
                                      <w:divBdr>
                                        <w:top w:val="none" w:sz="0" w:space="0" w:color="auto"/>
                                        <w:left w:val="none" w:sz="0" w:space="0" w:color="auto"/>
                                        <w:bottom w:val="none" w:sz="0" w:space="0" w:color="auto"/>
                                        <w:right w:val="none" w:sz="0" w:space="0" w:color="auto"/>
                                      </w:divBdr>
                                    </w:div>
                                  </w:divsChild>
                                </w:div>
                                <w:div w:id="1228145921">
                                  <w:marLeft w:val="0"/>
                                  <w:marRight w:val="0"/>
                                  <w:marTop w:val="0"/>
                                  <w:marBottom w:val="0"/>
                                  <w:divBdr>
                                    <w:top w:val="none" w:sz="0" w:space="0" w:color="auto"/>
                                    <w:left w:val="none" w:sz="0" w:space="0" w:color="auto"/>
                                    <w:bottom w:val="none" w:sz="0" w:space="0" w:color="auto"/>
                                    <w:right w:val="none" w:sz="0" w:space="0" w:color="auto"/>
                                  </w:divBdr>
                                  <w:divsChild>
                                    <w:div w:id="723529580">
                                      <w:marLeft w:val="0"/>
                                      <w:marRight w:val="0"/>
                                      <w:marTop w:val="0"/>
                                      <w:marBottom w:val="0"/>
                                      <w:divBdr>
                                        <w:top w:val="none" w:sz="0" w:space="0" w:color="auto"/>
                                        <w:left w:val="none" w:sz="0" w:space="0" w:color="auto"/>
                                        <w:bottom w:val="none" w:sz="0" w:space="0" w:color="auto"/>
                                        <w:right w:val="none" w:sz="0" w:space="0" w:color="auto"/>
                                      </w:divBdr>
                                      <w:divsChild>
                                        <w:div w:id="271783822">
                                          <w:marLeft w:val="0"/>
                                          <w:marRight w:val="0"/>
                                          <w:marTop w:val="0"/>
                                          <w:marBottom w:val="0"/>
                                          <w:divBdr>
                                            <w:top w:val="none" w:sz="0" w:space="0" w:color="auto"/>
                                            <w:left w:val="none" w:sz="0" w:space="0" w:color="auto"/>
                                            <w:bottom w:val="none" w:sz="0" w:space="0" w:color="auto"/>
                                            <w:right w:val="none" w:sz="0" w:space="0" w:color="auto"/>
                                          </w:divBdr>
                                          <w:divsChild>
                                            <w:div w:id="1481993390">
                                              <w:marLeft w:val="0"/>
                                              <w:marRight w:val="0"/>
                                              <w:marTop w:val="0"/>
                                              <w:marBottom w:val="0"/>
                                              <w:divBdr>
                                                <w:top w:val="none" w:sz="0" w:space="0" w:color="auto"/>
                                                <w:left w:val="none" w:sz="0" w:space="0" w:color="auto"/>
                                                <w:bottom w:val="none" w:sz="0" w:space="0" w:color="auto"/>
                                                <w:right w:val="none" w:sz="0" w:space="0" w:color="auto"/>
                                              </w:divBdr>
                                              <w:divsChild>
                                                <w:div w:id="807672996">
                                                  <w:marLeft w:val="0"/>
                                                  <w:marRight w:val="0"/>
                                                  <w:marTop w:val="0"/>
                                                  <w:marBottom w:val="0"/>
                                                  <w:divBdr>
                                                    <w:top w:val="none" w:sz="0" w:space="0" w:color="auto"/>
                                                    <w:left w:val="none" w:sz="0" w:space="0" w:color="auto"/>
                                                    <w:bottom w:val="none" w:sz="0" w:space="0" w:color="auto"/>
                                                    <w:right w:val="none" w:sz="0" w:space="0" w:color="auto"/>
                                                  </w:divBdr>
                                                </w:div>
                                              </w:divsChild>
                                            </w:div>
                                            <w:div w:id="78763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03180">
                                  <w:marLeft w:val="0"/>
                                  <w:marRight w:val="0"/>
                                  <w:marTop w:val="0"/>
                                  <w:marBottom w:val="0"/>
                                  <w:divBdr>
                                    <w:top w:val="none" w:sz="0" w:space="0" w:color="auto"/>
                                    <w:left w:val="none" w:sz="0" w:space="0" w:color="auto"/>
                                    <w:bottom w:val="none" w:sz="0" w:space="0" w:color="auto"/>
                                    <w:right w:val="none" w:sz="0" w:space="0" w:color="auto"/>
                                  </w:divBdr>
                                  <w:divsChild>
                                    <w:div w:id="1654868850">
                                      <w:marLeft w:val="0"/>
                                      <w:marRight w:val="0"/>
                                      <w:marTop w:val="0"/>
                                      <w:marBottom w:val="0"/>
                                      <w:divBdr>
                                        <w:top w:val="none" w:sz="0" w:space="0" w:color="auto"/>
                                        <w:left w:val="none" w:sz="0" w:space="0" w:color="auto"/>
                                        <w:bottom w:val="none" w:sz="0" w:space="0" w:color="auto"/>
                                        <w:right w:val="none" w:sz="0" w:space="0" w:color="auto"/>
                                      </w:divBdr>
                                      <w:divsChild>
                                        <w:div w:id="168761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5079896">
          <w:marLeft w:val="1899"/>
          <w:marRight w:val="0"/>
          <w:marTop w:val="0"/>
          <w:marBottom w:val="0"/>
          <w:divBdr>
            <w:top w:val="none" w:sz="0" w:space="0" w:color="auto"/>
            <w:left w:val="none" w:sz="0" w:space="0" w:color="auto"/>
            <w:bottom w:val="none" w:sz="0" w:space="0" w:color="auto"/>
            <w:right w:val="none" w:sz="0" w:space="0" w:color="auto"/>
          </w:divBdr>
        </w:div>
        <w:div w:id="1945309434">
          <w:marLeft w:val="1899"/>
          <w:marRight w:val="0"/>
          <w:marTop w:val="0"/>
          <w:marBottom w:val="0"/>
          <w:divBdr>
            <w:top w:val="none" w:sz="0" w:space="0" w:color="auto"/>
            <w:left w:val="none" w:sz="0" w:space="0" w:color="auto"/>
            <w:bottom w:val="none" w:sz="0" w:space="0" w:color="auto"/>
            <w:right w:val="none" w:sz="0" w:space="0" w:color="auto"/>
          </w:divBdr>
          <w:divsChild>
            <w:div w:id="674190245">
              <w:marLeft w:val="0"/>
              <w:marRight w:val="0"/>
              <w:marTop w:val="480"/>
              <w:marBottom w:val="0"/>
              <w:divBdr>
                <w:top w:val="none" w:sz="0" w:space="0" w:color="auto"/>
                <w:left w:val="none" w:sz="0" w:space="0" w:color="auto"/>
                <w:bottom w:val="none" w:sz="0" w:space="0" w:color="auto"/>
                <w:right w:val="none" w:sz="0" w:space="0" w:color="auto"/>
              </w:divBdr>
              <w:divsChild>
                <w:div w:id="2067298660">
                  <w:marLeft w:val="0"/>
                  <w:marRight w:val="0"/>
                  <w:marTop w:val="0"/>
                  <w:marBottom w:val="0"/>
                  <w:divBdr>
                    <w:top w:val="none" w:sz="0" w:space="0" w:color="auto"/>
                    <w:left w:val="none" w:sz="0" w:space="0" w:color="auto"/>
                    <w:bottom w:val="none" w:sz="0" w:space="0" w:color="auto"/>
                    <w:right w:val="none" w:sz="0" w:space="0" w:color="auto"/>
                  </w:divBdr>
                  <w:divsChild>
                    <w:div w:id="1144858421">
                      <w:marLeft w:val="0"/>
                      <w:marRight w:val="0"/>
                      <w:marTop w:val="0"/>
                      <w:marBottom w:val="0"/>
                      <w:divBdr>
                        <w:top w:val="none" w:sz="0" w:space="0" w:color="auto"/>
                        <w:left w:val="none" w:sz="0" w:space="0" w:color="auto"/>
                        <w:bottom w:val="none" w:sz="0" w:space="0" w:color="auto"/>
                        <w:right w:val="none" w:sz="0" w:space="0" w:color="auto"/>
                      </w:divBdr>
                      <w:divsChild>
                        <w:div w:id="410009786">
                          <w:marLeft w:val="0"/>
                          <w:marRight w:val="0"/>
                          <w:marTop w:val="0"/>
                          <w:marBottom w:val="0"/>
                          <w:divBdr>
                            <w:top w:val="none" w:sz="0" w:space="0" w:color="auto"/>
                            <w:left w:val="none" w:sz="0" w:space="0" w:color="auto"/>
                            <w:bottom w:val="none" w:sz="0" w:space="0" w:color="auto"/>
                            <w:right w:val="none" w:sz="0" w:space="0" w:color="auto"/>
                          </w:divBdr>
                        </w:div>
                      </w:divsChild>
                    </w:div>
                    <w:div w:id="1802993559">
                      <w:marLeft w:val="0"/>
                      <w:marRight w:val="0"/>
                      <w:marTop w:val="0"/>
                      <w:marBottom w:val="0"/>
                      <w:divBdr>
                        <w:top w:val="none" w:sz="0" w:space="0" w:color="auto"/>
                        <w:left w:val="none" w:sz="0" w:space="0" w:color="auto"/>
                        <w:bottom w:val="none" w:sz="0" w:space="0" w:color="auto"/>
                        <w:right w:val="none" w:sz="0" w:space="0" w:color="auto"/>
                      </w:divBdr>
                      <w:divsChild>
                        <w:div w:id="2037610170">
                          <w:marLeft w:val="0"/>
                          <w:marRight w:val="0"/>
                          <w:marTop w:val="0"/>
                          <w:marBottom w:val="0"/>
                          <w:divBdr>
                            <w:top w:val="none" w:sz="0" w:space="0" w:color="auto"/>
                            <w:left w:val="none" w:sz="0" w:space="0" w:color="auto"/>
                            <w:bottom w:val="none" w:sz="0" w:space="0" w:color="auto"/>
                            <w:right w:val="none" w:sz="0" w:space="0" w:color="auto"/>
                          </w:divBdr>
                          <w:divsChild>
                            <w:div w:id="372389653">
                              <w:marLeft w:val="0"/>
                              <w:marRight w:val="0"/>
                              <w:marTop w:val="0"/>
                              <w:marBottom w:val="0"/>
                              <w:divBdr>
                                <w:top w:val="none" w:sz="0" w:space="0" w:color="auto"/>
                                <w:left w:val="none" w:sz="0" w:space="0" w:color="auto"/>
                                <w:bottom w:val="none" w:sz="0" w:space="0" w:color="auto"/>
                                <w:right w:val="none" w:sz="0" w:space="0" w:color="auto"/>
                              </w:divBdr>
                              <w:divsChild>
                                <w:div w:id="685253788">
                                  <w:marLeft w:val="0"/>
                                  <w:marRight w:val="0"/>
                                  <w:marTop w:val="0"/>
                                  <w:marBottom w:val="0"/>
                                  <w:divBdr>
                                    <w:top w:val="none" w:sz="0" w:space="0" w:color="auto"/>
                                    <w:left w:val="none" w:sz="0" w:space="0" w:color="auto"/>
                                    <w:bottom w:val="none" w:sz="0" w:space="0" w:color="auto"/>
                                    <w:right w:val="none" w:sz="0" w:space="0" w:color="auto"/>
                                  </w:divBdr>
                                </w:div>
                              </w:divsChild>
                            </w:div>
                            <w:div w:id="279265686">
                              <w:marLeft w:val="0"/>
                              <w:marRight w:val="0"/>
                              <w:marTop w:val="0"/>
                              <w:marBottom w:val="0"/>
                              <w:divBdr>
                                <w:top w:val="none" w:sz="0" w:space="0" w:color="auto"/>
                                <w:left w:val="none" w:sz="0" w:space="0" w:color="auto"/>
                                <w:bottom w:val="none" w:sz="0" w:space="0" w:color="auto"/>
                                <w:right w:val="none" w:sz="0" w:space="0" w:color="auto"/>
                              </w:divBdr>
                              <w:divsChild>
                                <w:div w:id="930969455">
                                  <w:marLeft w:val="0"/>
                                  <w:marRight w:val="0"/>
                                  <w:marTop w:val="0"/>
                                  <w:marBottom w:val="0"/>
                                  <w:divBdr>
                                    <w:top w:val="none" w:sz="0" w:space="0" w:color="auto"/>
                                    <w:left w:val="none" w:sz="0" w:space="0" w:color="auto"/>
                                    <w:bottom w:val="none" w:sz="0" w:space="0" w:color="auto"/>
                                    <w:right w:val="none" w:sz="0" w:space="0" w:color="auto"/>
                                  </w:divBdr>
                                  <w:divsChild>
                                    <w:div w:id="1754811465">
                                      <w:marLeft w:val="0"/>
                                      <w:marRight w:val="0"/>
                                      <w:marTop w:val="0"/>
                                      <w:marBottom w:val="0"/>
                                      <w:divBdr>
                                        <w:top w:val="none" w:sz="0" w:space="0" w:color="auto"/>
                                        <w:left w:val="none" w:sz="0" w:space="0" w:color="auto"/>
                                        <w:bottom w:val="none" w:sz="0" w:space="0" w:color="auto"/>
                                        <w:right w:val="none" w:sz="0" w:space="0" w:color="auto"/>
                                      </w:divBdr>
                                      <w:divsChild>
                                        <w:div w:id="650447802">
                                          <w:marLeft w:val="0"/>
                                          <w:marRight w:val="0"/>
                                          <w:marTop w:val="120"/>
                                          <w:marBottom w:val="0"/>
                                          <w:divBdr>
                                            <w:top w:val="none" w:sz="0" w:space="0" w:color="auto"/>
                                            <w:left w:val="none" w:sz="0" w:space="0" w:color="auto"/>
                                            <w:bottom w:val="none" w:sz="0" w:space="0" w:color="auto"/>
                                            <w:right w:val="none" w:sz="0" w:space="0" w:color="auto"/>
                                          </w:divBdr>
                                        </w:div>
                                      </w:divsChild>
                                    </w:div>
                                    <w:div w:id="195042220">
                                      <w:marLeft w:val="0"/>
                                      <w:marRight w:val="0"/>
                                      <w:marTop w:val="0"/>
                                      <w:marBottom w:val="0"/>
                                      <w:divBdr>
                                        <w:top w:val="none" w:sz="0" w:space="0" w:color="auto"/>
                                        <w:left w:val="none" w:sz="0" w:space="0" w:color="auto"/>
                                        <w:bottom w:val="none" w:sz="0" w:space="0" w:color="auto"/>
                                        <w:right w:val="none" w:sz="0" w:space="0" w:color="auto"/>
                                      </w:divBdr>
                                      <w:divsChild>
                                        <w:div w:id="950865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413231">
                              <w:marLeft w:val="0"/>
                              <w:marRight w:val="0"/>
                              <w:marTop w:val="0"/>
                              <w:marBottom w:val="0"/>
                              <w:divBdr>
                                <w:top w:val="none" w:sz="0" w:space="0" w:color="auto"/>
                                <w:left w:val="none" w:sz="0" w:space="0" w:color="auto"/>
                                <w:bottom w:val="none" w:sz="0" w:space="0" w:color="auto"/>
                                <w:right w:val="none" w:sz="0" w:space="0" w:color="auto"/>
                              </w:divBdr>
                              <w:divsChild>
                                <w:div w:id="507721264">
                                  <w:marLeft w:val="0"/>
                                  <w:marRight w:val="0"/>
                                  <w:marTop w:val="0"/>
                                  <w:marBottom w:val="0"/>
                                  <w:divBdr>
                                    <w:top w:val="none" w:sz="0" w:space="0" w:color="auto"/>
                                    <w:left w:val="none" w:sz="0" w:space="0" w:color="auto"/>
                                    <w:bottom w:val="none" w:sz="0" w:space="0" w:color="auto"/>
                                    <w:right w:val="none" w:sz="0" w:space="0" w:color="auto"/>
                                  </w:divBdr>
                                  <w:divsChild>
                                    <w:div w:id="838157131">
                                      <w:marLeft w:val="0"/>
                                      <w:marRight w:val="0"/>
                                      <w:marTop w:val="0"/>
                                      <w:marBottom w:val="0"/>
                                      <w:divBdr>
                                        <w:top w:val="none" w:sz="0" w:space="0" w:color="auto"/>
                                        <w:left w:val="none" w:sz="0" w:space="0" w:color="auto"/>
                                        <w:bottom w:val="none" w:sz="0" w:space="0" w:color="auto"/>
                                        <w:right w:val="none" w:sz="0" w:space="0" w:color="auto"/>
                                      </w:divBdr>
                                      <w:divsChild>
                                        <w:div w:id="1148977570">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240096354">
                              <w:marLeft w:val="0"/>
                              <w:marRight w:val="0"/>
                              <w:marTop w:val="0"/>
                              <w:marBottom w:val="0"/>
                              <w:divBdr>
                                <w:top w:val="none" w:sz="0" w:space="0" w:color="auto"/>
                                <w:left w:val="none" w:sz="0" w:space="0" w:color="auto"/>
                                <w:bottom w:val="none" w:sz="0" w:space="0" w:color="auto"/>
                                <w:right w:val="none" w:sz="0" w:space="0" w:color="auto"/>
                              </w:divBdr>
                              <w:divsChild>
                                <w:div w:id="1989044160">
                                  <w:marLeft w:val="0"/>
                                  <w:marRight w:val="0"/>
                                  <w:marTop w:val="0"/>
                                  <w:marBottom w:val="0"/>
                                  <w:divBdr>
                                    <w:top w:val="none" w:sz="0" w:space="0" w:color="auto"/>
                                    <w:left w:val="none" w:sz="0" w:space="0" w:color="auto"/>
                                    <w:bottom w:val="none" w:sz="0" w:space="0" w:color="auto"/>
                                    <w:right w:val="none" w:sz="0" w:space="0" w:color="auto"/>
                                  </w:divBdr>
                                  <w:divsChild>
                                    <w:div w:id="1747610378">
                                      <w:marLeft w:val="0"/>
                                      <w:marRight w:val="0"/>
                                      <w:marTop w:val="0"/>
                                      <w:marBottom w:val="0"/>
                                      <w:divBdr>
                                        <w:top w:val="none" w:sz="0" w:space="0" w:color="auto"/>
                                        <w:left w:val="none" w:sz="0" w:space="0" w:color="auto"/>
                                        <w:bottom w:val="none" w:sz="0" w:space="0" w:color="auto"/>
                                        <w:right w:val="none" w:sz="0" w:space="0" w:color="auto"/>
                                      </w:divBdr>
                                      <w:divsChild>
                                        <w:div w:id="136538162">
                                          <w:marLeft w:val="0"/>
                                          <w:marRight w:val="0"/>
                                          <w:marTop w:val="120"/>
                                          <w:marBottom w:val="0"/>
                                          <w:divBdr>
                                            <w:top w:val="none" w:sz="0" w:space="0" w:color="auto"/>
                                            <w:left w:val="none" w:sz="0" w:space="0" w:color="auto"/>
                                            <w:bottom w:val="none" w:sz="0" w:space="0" w:color="auto"/>
                                            <w:right w:val="none" w:sz="0" w:space="0" w:color="auto"/>
                                          </w:divBdr>
                                        </w:div>
                                      </w:divsChild>
                                    </w:div>
                                    <w:div w:id="121192315">
                                      <w:marLeft w:val="0"/>
                                      <w:marRight w:val="0"/>
                                      <w:marTop w:val="0"/>
                                      <w:marBottom w:val="0"/>
                                      <w:divBdr>
                                        <w:top w:val="none" w:sz="0" w:space="0" w:color="auto"/>
                                        <w:left w:val="none" w:sz="0" w:space="0" w:color="auto"/>
                                        <w:bottom w:val="none" w:sz="0" w:space="0" w:color="auto"/>
                                        <w:right w:val="none" w:sz="0" w:space="0" w:color="auto"/>
                                      </w:divBdr>
                                      <w:divsChild>
                                        <w:div w:id="2096053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212488">
          <w:marLeft w:val="0"/>
          <w:marRight w:val="0"/>
          <w:marTop w:val="0"/>
          <w:marBottom w:val="0"/>
          <w:divBdr>
            <w:top w:val="none" w:sz="0" w:space="0" w:color="auto"/>
            <w:left w:val="none" w:sz="0" w:space="0" w:color="auto"/>
            <w:bottom w:val="none" w:sz="0" w:space="0" w:color="auto"/>
            <w:right w:val="none" w:sz="0" w:space="0" w:color="auto"/>
          </w:divBdr>
          <w:divsChild>
            <w:div w:id="1874033196">
              <w:marLeft w:val="480"/>
              <w:marRight w:val="0"/>
              <w:marTop w:val="480"/>
              <w:marBottom w:val="0"/>
              <w:divBdr>
                <w:top w:val="none" w:sz="0" w:space="0" w:color="auto"/>
                <w:left w:val="none" w:sz="0" w:space="0" w:color="auto"/>
                <w:bottom w:val="none" w:sz="0" w:space="0" w:color="auto"/>
                <w:right w:val="none" w:sz="0" w:space="0" w:color="auto"/>
              </w:divBdr>
              <w:divsChild>
                <w:div w:id="718867843">
                  <w:marLeft w:val="0"/>
                  <w:marRight w:val="0"/>
                  <w:marTop w:val="0"/>
                  <w:marBottom w:val="0"/>
                  <w:divBdr>
                    <w:top w:val="none" w:sz="0" w:space="0" w:color="auto"/>
                    <w:left w:val="none" w:sz="0" w:space="0" w:color="auto"/>
                    <w:bottom w:val="none" w:sz="0" w:space="0" w:color="auto"/>
                    <w:right w:val="none" w:sz="0" w:space="0" w:color="auto"/>
                  </w:divBdr>
                  <w:divsChild>
                    <w:div w:id="2102555993">
                      <w:marLeft w:val="0"/>
                      <w:marRight w:val="0"/>
                      <w:marTop w:val="0"/>
                      <w:marBottom w:val="0"/>
                      <w:divBdr>
                        <w:top w:val="none" w:sz="0" w:space="0" w:color="auto"/>
                        <w:left w:val="none" w:sz="0" w:space="0" w:color="auto"/>
                        <w:bottom w:val="none" w:sz="0" w:space="0" w:color="auto"/>
                        <w:right w:val="none" w:sz="0" w:space="0" w:color="auto"/>
                      </w:divBdr>
                      <w:divsChild>
                        <w:div w:id="1625034853">
                          <w:marLeft w:val="0"/>
                          <w:marRight w:val="0"/>
                          <w:marTop w:val="0"/>
                          <w:marBottom w:val="0"/>
                          <w:divBdr>
                            <w:top w:val="none" w:sz="0" w:space="0" w:color="auto"/>
                            <w:left w:val="none" w:sz="0" w:space="0" w:color="auto"/>
                            <w:bottom w:val="none" w:sz="0" w:space="0" w:color="auto"/>
                            <w:right w:val="none" w:sz="0" w:space="0" w:color="auto"/>
                          </w:divBdr>
                        </w:div>
                      </w:divsChild>
                    </w:div>
                    <w:div w:id="153911034">
                      <w:marLeft w:val="0"/>
                      <w:marRight w:val="0"/>
                      <w:marTop w:val="0"/>
                      <w:marBottom w:val="0"/>
                      <w:divBdr>
                        <w:top w:val="none" w:sz="0" w:space="0" w:color="auto"/>
                        <w:left w:val="none" w:sz="0" w:space="0" w:color="auto"/>
                        <w:bottom w:val="none" w:sz="0" w:space="0" w:color="auto"/>
                        <w:right w:val="none" w:sz="0" w:space="0" w:color="auto"/>
                      </w:divBdr>
                      <w:divsChild>
                        <w:div w:id="1867256156">
                          <w:marLeft w:val="0"/>
                          <w:marRight w:val="0"/>
                          <w:marTop w:val="0"/>
                          <w:marBottom w:val="0"/>
                          <w:divBdr>
                            <w:top w:val="none" w:sz="0" w:space="0" w:color="auto"/>
                            <w:left w:val="none" w:sz="0" w:space="0" w:color="auto"/>
                            <w:bottom w:val="none" w:sz="0" w:space="0" w:color="auto"/>
                            <w:right w:val="none" w:sz="0" w:space="0" w:color="auto"/>
                          </w:divBdr>
                        </w:div>
                      </w:divsChild>
                    </w:div>
                    <w:div w:id="1955820176">
                      <w:marLeft w:val="0"/>
                      <w:marRight w:val="0"/>
                      <w:marTop w:val="0"/>
                      <w:marBottom w:val="0"/>
                      <w:divBdr>
                        <w:top w:val="none" w:sz="0" w:space="0" w:color="auto"/>
                        <w:left w:val="none" w:sz="0" w:space="0" w:color="auto"/>
                        <w:bottom w:val="none" w:sz="0" w:space="0" w:color="auto"/>
                        <w:right w:val="none" w:sz="0" w:space="0" w:color="auto"/>
                      </w:divBdr>
                      <w:divsChild>
                        <w:div w:id="125508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2888232">
      <w:bodyDiv w:val="1"/>
      <w:marLeft w:val="0"/>
      <w:marRight w:val="0"/>
      <w:marTop w:val="0"/>
      <w:marBottom w:val="0"/>
      <w:divBdr>
        <w:top w:val="none" w:sz="0" w:space="0" w:color="auto"/>
        <w:left w:val="none" w:sz="0" w:space="0" w:color="auto"/>
        <w:bottom w:val="none" w:sz="0" w:space="0" w:color="auto"/>
        <w:right w:val="none" w:sz="0" w:space="0" w:color="auto"/>
      </w:divBdr>
      <w:divsChild>
        <w:div w:id="1071926885">
          <w:marLeft w:val="1899"/>
          <w:marRight w:val="0"/>
          <w:marTop w:val="0"/>
          <w:marBottom w:val="0"/>
          <w:divBdr>
            <w:top w:val="none" w:sz="0" w:space="0" w:color="auto"/>
            <w:left w:val="none" w:sz="0" w:space="0" w:color="auto"/>
            <w:bottom w:val="none" w:sz="0" w:space="0" w:color="auto"/>
            <w:right w:val="none" w:sz="0" w:space="0" w:color="auto"/>
          </w:divBdr>
          <w:divsChild>
            <w:div w:id="1804612800">
              <w:marLeft w:val="0"/>
              <w:marRight w:val="0"/>
              <w:marTop w:val="480"/>
              <w:marBottom w:val="0"/>
              <w:divBdr>
                <w:top w:val="none" w:sz="0" w:space="0" w:color="auto"/>
                <w:left w:val="none" w:sz="0" w:space="0" w:color="auto"/>
                <w:bottom w:val="none" w:sz="0" w:space="0" w:color="auto"/>
                <w:right w:val="none" w:sz="0" w:space="0" w:color="auto"/>
              </w:divBdr>
              <w:divsChild>
                <w:div w:id="901066668">
                  <w:marLeft w:val="0"/>
                  <w:marRight w:val="0"/>
                  <w:marTop w:val="0"/>
                  <w:marBottom w:val="0"/>
                  <w:divBdr>
                    <w:top w:val="none" w:sz="0" w:space="0" w:color="auto"/>
                    <w:left w:val="none" w:sz="0" w:space="0" w:color="auto"/>
                    <w:bottom w:val="none" w:sz="0" w:space="0" w:color="auto"/>
                    <w:right w:val="none" w:sz="0" w:space="0" w:color="auto"/>
                  </w:divBdr>
                  <w:divsChild>
                    <w:div w:id="714894488">
                      <w:marLeft w:val="0"/>
                      <w:marRight w:val="0"/>
                      <w:marTop w:val="0"/>
                      <w:marBottom w:val="0"/>
                      <w:divBdr>
                        <w:top w:val="none" w:sz="0" w:space="0" w:color="auto"/>
                        <w:left w:val="none" w:sz="0" w:space="0" w:color="auto"/>
                        <w:bottom w:val="none" w:sz="0" w:space="0" w:color="auto"/>
                        <w:right w:val="none" w:sz="0" w:space="0" w:color="auto"/>
                      </w:divBdr>
                      <w:divsChild>
                        <w:div w:id="97606200">
                          <w:marLeft w:val="0"/>
                          <w:marRight w:val="0"/>
                          <w:marTop w:val="0"/>
                          <w:marBottom w:val="0"/>
                          <w:divBdr>
                            <w:top w:val="none" w:sz="0" w:space="0" w:color="auto"/>
                            <w:left w:val="none" w:sz="0" w:space="0" w:color="auto"/>
                            <w:bottom w:val="none" w:sz="0" w:space="0" w:color="auto"/>
                            <w:right w:val="none" w:sz="0" w:space="0" w:color="auto"/>
                          </w:divBdr>
                        </w:div>
                      </w:divsChild>
                    </w:div>
                    <w:div w:id="187641827">
                      <w:marLeft w:val="0"/>
                      <w:marRight w:val="0"/>
                      <w:marTop w:val="0"/>
                      <w:marBottom w:val="0"/>
                      <w:divBdr>
                        <w:top w:val="none" w:sz="0" w:space="0" w:color="auto"/>
                        <w:left w:val="none" w:sz="0" w:space="0" w:color="auto"/>
                        <w:bottom w:val="none" w:sz="0" w:space="0" w:color="auto"/>
                        <w:right w:val="none" w:sz="0" w:space="0" w:color="auto"/>
                      </w:divBdr>
                      <w:divsChild>
                        <w:div w:id="568032765">
                          <w:marLeft w:val="0"/>
                          <w:marRight w:val="0"/>
                          <w:marTop w:val="0"/>
                          <w:marBottom w:val="0"/>
                          <w:divBdr>
                            <w:top w:val="none" w:sz="0" w:space="0" w:color="auto"/>
                            <w:left w:val="none" w:sz="0" w:space="0" w:color="auto"/>
                            <w:bottom w:val="none" w:sz="0" w:space="0" w:color="auto"/>
                            <w:right w:val="none" w:sz="0" w:space="0" w:color="auto"/>
                          </w:divBdr>
                          <w:divsChild>
                            <w:div w:id="283734676">
                              <w:marLeft w:val="0"/>
                              <w:marRight w:val="0"/>
                              <w:marTop w:val="0"/>
                              <w:marBottom w:val="0"/>
                              <w:divBdr>
                                <w:top w:val="none" w:sz="0" w:space="0" w:color="auto"/>
                                <w:left w:val="none" w:sz="0" w:space="0" w:color="auto"/>
                                <w:bottom w:val="none" w:sz="0" w:space="0" w:color="auto"/>
                                <w:right w:val="none" w:sz="0" w:space="0" w:color="auto"/>
                              </w:divBdr>
                              <w:divsChild>
                                <w:div w:id="786463559">
                                  <w:marLeft w:val="0"/>
                                  <w:marRight w:val="0"/>
                                  <w:marTop w:val="0"/>
                                  <w:marBottom w:val="0"/>
                                  <w:divBdr>
                                    <w:top w:val="none" w:sz="0" w:space="0" w:color="auto"/>
                                    <w:left w:val="none" w:sz="0" w:space="0" w:color="auto"/>
                                    <w:bottom w:val="none" w:sz="0" w:space="0" w:color="auto"/>
                                    <w:right w:val="none" w:sz="0" w:space="0" w:color="auto"/>
                                  </w:divBdr>
                                </w:div>
                              </w:divsChild>
                            </w:div>
                            <w:div w:id="1555265805">
                              <w:marLeft w:val="0"/>
                              <w:marRight w:val="0"/>
                              <w:marTop w:val="0"/>
                              <w:marBottom w:val="0"/>
                              <w:divBdr>
                                <w:top w:val="none" w:sz="0" w:space="0" w:color="auto"/>
                                <w:left w:val="none" w:sz="0" w:space="0" w:color="auto"/>
                                <w:bottom w:val="none" w:sz="0" w:space="0" w:color="auto"/>
                                <w:right w:val="none" w:sz="0" w:space="0" w:color="auto"/>
                              </w:divBdr>
                              <w:divsChild>
                                <w:div w:id="660237242">
                                  <w:marLeft w:val="0"/>
                                  <w:marRight w:val="0"/>
                                  <w:marTop w:val="0"/>
                                  <w:marBottom w:val="0"/>
                                  <w:divBdr>
                                    <w:top w:val="none" w:sz="0" w:space="0" w:color="auto"/>
                                    <w:left w:val="none" w:sz="0" w:space="0" w:color="auto"/>
                                    <w:bottom w:val="none" w:sz="0" w:space="0" w:color="auto"/>
                                    <w:right w:val="none" w:sz="0" w:space="0" w:color="auto"/>
                                  </w:divBdr>
                                  <w:divsChild>
                                    <w:div w:id="1296789418">
                                      <w:marLeft w:val="0"/>
                                      <w:marRight w:val="0"/>
                                      <w:marTop w:val="0"/>
                                      <w:marBottom w:val="0"/>
                                      <w:divBdr>
                                        <w:top w:val="none" w:sz="0" w:space="0" w:color="auto"/>
                                        <w:left w:val="none" w:sz="0" w:space="0" w:color="auto"/>
                                        <w:bottom w:val="none" w:sz="0" w:space="0" w:color="auto"/>
                                        <w:right w:val="none" w:sz="0" w:space="0" w:color="auto"/>
                                      </w:divBdr>
                                      <w:divsChild>
                                        <w:div w:id="967709933">
                                          <w:marLeft w:val="0"/>
                                          <w:marRight w:val="0"/>
                                          <w:marTop w:val="120"/>
                                          <w:marBottom w:val="0"/>
                                          <w:divBdr>
                                            <w:top w:val="none" w:sz="0" w:space="0" w:color="auto"/>
                                            <w:left w:val="none" w:sz="0" w:space="0" w:color="auto"/>
                                            <w:bottom w:val="none" w:sz="0" w:space="0" w:color="auto"/>
                                            <w:right w:val="none" w:sz="0" w:space="0" w:color="auto"/>
                                          </w:divBdr>
                                        </w:div>
                                      </w:divsChild>
                                    </w:div>
                                    <w:div w:id="1681815481">
                                      <w:marLeft w:val="0"/>
                                      <w:marRight w:val="0"/>
                                      <w:marTop w:val="0"/>
                                      <w:marBottom w:val="0"/>
                                      <w:divBdr>
                                        <w:top w:val="none" w:sz="0" w:space="0" w:color="auto"/>
                                        <w:left w:val="none" w:sz="0" w:space="0" w:color="auto"/>
                                        <w:bottom w:val="none" w:sz="0" w:space="0" w:color="auto"/>
                                        <w:right w:val="none" w:sz="0" w:space="0" w:color="auto"/>
                                      </w:divBdr>
                                      <w:divsChild>
                                        <w:div w:id="194453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427301">
                              <w:marLeft w:val="0"/>
                              <w:marRight w:val="0"/>
                              <w:marTop w:val="0"/>
                              <w:marBottom w:val="0"/>
                              <w:divBdr>
                                <w:top w:val="none" w:sz="0" w:space="0" w:color="auto"/>
                                <w:left w:val="none" w:sz="0" w:space="0" w:color="auto"/>
                                <w:bottom w:val="none" w:sz="0" w:space="0" w:color="auto"/>
                                <w:right w:val="none" w:sz="0" w:space="0" w:color="auto"/>
                              </w:divBdr>
                              <w:divsChild>
                                <w:div w:id="282885824">
                                  <w:marLeft w:val="0"/>
                                  <w:marRight w:val="0"/>
                                  <w:marTop w:val="0"/>
                                  <w:marBottom w:val="0"/>
                                  <w:divBdr>
                                    <w:top w:val="none" w:sz="0" w:space="0" w:color="auto"/>
                                    <w:left w:val="none" w:sz="0" w:space="0" w:color="auto"/>
                                    <w:bottom w:val="none" w:sz="0" w:space="0" w:color="auto"/>
                                    <w:right w:val="none" w:sz="0" w:space="0" w:color="auto"/>
                                  </w:divBdr>
                                  <w:divsChild>
                                    <w:div w:id="2038120653">
                                      <w:marLeft w:val="0"/>
                                      <w:marRight w:val="0"/>
                                      <w:marTop w:val="0"/>
                                      <w:marBottom w:val="0"/>
                                      <w:divBdr>
                                        <w:top w:val="none" w:sz="0" w:space="0" w:color="auto"/>
                                        <w:left w:val="none" w:sz="0" w:space="0" w:color="auto"/>
                                        <w:bottom w:val="none" w:sz="0" w:space="0" w:color="auto"/>
                                        <w:right w:val="none" w:sz="0" w:space="0" w:color="auto"/>
                                      </w:divBdr>
                                      <w:divsChild>
                                        <w:div w:id="374741911">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710766931">
                              <w:marLeft w:val="0"/>
                              <w:marRight w:val="0"/>
                              <w:marTop w:val="0"/>
                              <w:marBottom w:val="0"/>
                              <w:divBdr>
                                <w:top w:val="none" w:sz="0" w:space="0" w:color="auto"/>
                                <w:left w:val="none" w:sz="0" w:space="0" w:color="auto"/>
                                <w:bottom w:val="none" w:sz="0" w:space="0" w:color="auto"/>
                                <w:right w:val="none" w:sz="0" w:space="0" w:color="auto"/>
                              </w:divBdr>
                              <w:divsChild>
                                <w:div w:id="984622991">
                                  <w:marLeft w:val="0"/>
                                  <w:marRight w:val="0"/>
                                  <w:marTop w:val="0"/>
                                  <w:marBottom w:val="0"/>
                                  <w:divBdr>
                                    <w:top w:val="none" w:sz="0" w:space="0" w:color="auto"/>
                                    <w:left w:val="none" w:sz="0" w:space="0" w:color="auto"/>
                                    <w:bottom w:val="none" w:sz="0" w:space="0" w:color="auto"/>
                                    <w:right w:val="none" w:sz="0" w:space="0" w:color="auto"/>
                                  </w:divBdr>
                                  <w:divsChild>
                                    <w:div w:id="1811556787">
                                      <w:marLeft w:val="0"/>
                                      <w:marRight w:val="0"/>
                                      <w:marTop w:val="0"/>
                                      <w:marBottom w:val="0"/>
                                      <w:divBdr>
                                        <w:top w:val="none" w:sz="0" w:space="0" w:color="auto"/>
                                        <w:left w:val="none" w:sz="0" w:space="0" w:color="auto"/>
                                        <w:bottom w:val="none" w:sz="0" w:space="0" w:color="auto"/>
                                        <w:right w:val="none" w:sz="0" w:space="0" w:color="auto"/>
                                      </w:divBdr>
                                      <w:divsChild>
                                        <w:div w:id="281544400">
                                          <w:marLeft w:val="0"/>
                                          <w:marRight w:val="0"/>
                                          <w:marTop w:val="120"/>
                                          <w:marBottom w:val="0"/>
                                          <w:divBdr>
                                            <w:top w:val="none" w:sz="0" w:space="0" w:color="auto"/>
                                            <w:left w:val="none" w:sz="0" w:space="0" w:color="auto"/>
                                            <w:bottom w:val="none" w:sz="0" w:space="0" w:color="auto"/>
                                            <w:right w:val="none" w:sz="0" w:space="0" w:color="auto"/>
                                          </w:divBdr>
                                        </w:div>
                                      </w:divsChild>
                                    </w:div>
                                    <w:div w:id="2131240954">
                                      <w:marLeft w:val="0"/>
                                      <w:marRight w:val="0"/>
                                      <w:marTop w:val="0"/>
                                      <w:marBottom w:val="0"/>
                                      <w:divBdr>
                                        <w:top w:val="none" w:sz="0" w:space="0" w:color="auto"/>
                                        <w:left w:val="none" w:sz="0" w:space="0" w:color="auto"/>
                                        <w:bottom w:val="none" w:sz="0" w:space="0" w:color="auto"/>
                                        <w:right w:val="none" w:sz="0" w:space="0" w:color="auto"/>
                                      </w:divBdr>
                                      <w:divsChild>
                                        <w:div w:id="1301612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69723706">
          <w:marLeft w:val="1899"/>
          <w:marRight w:val="0"/>
          <w:marTop w:val="0"/>
          <w:marBottom w:val="0"/>
          <w:divBdr>
            <w:top w:val="none" w:sz="0" w:space="0" w:color="auto"/>
            <w:left w:val="none" w:sz="0" w:space="0" w:color="auto"/>
            <w:bottom w:val="none" w:sz="0" w:space="0" w:color="auto"/>
            <w:right w:val="none" w:sz="0" w:space="0" w:color="auto"/>
          </w:divBdr>
          <w:divsChild>
            <w:div w:id="739448237">
              <w:marLeft w:val="0"/>
              <w:marRight w:val="480"/>
              <w:marTop w:val="480"/>
              <w:marBottom w:val="0"/>
              <w:divBdr>
                <w:top w:val="none" w:sz="0" w:space="0" w:color="auto"/>
                <w:left w:val="none" w:sz="0" w:space="0" w:color="auto"/>
                <w:bottom w:val="none" w:sz="0" w:space="0" w:color="auto"/>
                <w:right w:val="none" w:sz="0" w:space="0" w:color="auto"/>
              </w:divBdr>
              <w:divsChild>
                <w:div w:id="1524399267">
                  <w:marLeft w:val="0"/>
                  <w:marRight w:val="0"/>
                  <w:marTop w:val="0"/>
                  <w:marBottom w:val="0"/>
                  <w:divBdr>
                    <w:top w:val="none" w:sz="0" w:space="0" w:color="auto"/>
                    <w:left w:val="none" w:sz="0" w:space="0" w:color="auto"/>
                    <w:bottom w:val="none" w:sz="0" w:space="0" w:color="auto"/>
                    <w:right w:val="none" w:sz="0" w:space="0" w:color="auto"/>
                  </w:divBdr>
                  <w:divsChild>
                    <w:div w:id="1355764627">
                      <w:marLeft w:val="0"/>
                      <w:marRight w:val="0"/>
                      <w:marTop w:val="0"/>
                      <w:marBottom w:val="0"/>
                      <w:divBdr>
                        <w:top w:val="none" w:sz="0" w:space="0" w:color="auto"/>
                        <w:left w:val="none" w:sz="0" w:space="0" w:color="auto"/>
                        <w:bottom w:val="none" w:sz="0" w:space="0" w:color="auto"/>
                        <w:right w:val="none" w:sz="0" w:space="0" w:color="auto"/>
                      </w:divBdr>
                      <w:divsChild>
                        <w:div w:id="653683068">
                          <w:marLeft w:val="0"/>
                          <w:marRight w:val="0"/>
                          <w:marTop w:val="0"/>
                          <w:marBottom w:val="0"/>
                          <w:divBdr>
                            <w:top w:val="none" w:sz="0" w:space="0" w:color="auto"/>
                            <w:left w:val="none" w:sz="0" w:space="0" w:color="auto"/>
                            <w:bottom w:val="none" w:sz="0" w:space="0" w:color="auto"/>
                            <w:right w:val="none" w:sz="0" w:space="0" w:color="auto"/>
                          </w:divBdr>
                        </w:div>
                      </w:divsChild>
                    </w:div>
                    <w:div w:id="307520007">
                      <w:marLeft w:val="0"/>
                      <w:marRight w:val="0"/>
                      <w:marTop w:val="0"/>
                      <w:marBottom w:val="0"/>
                      <w:divBdr>
                        <w:top w:val="none" w:sz="0" w:space="0" w:color="auto"/>
                        <w:left w:val="none" w:sz="0" w:space="0" w:color="auto"/>
                        <w:bottom w:val="none" w:sz="0" w:space="0" w:color="auto"/>
                        <w:right w:val="none" w:sz="0" w:space="0" w:color="auto"/>
                      </w:divBdr>
                      <w:divsChild>
                        <w:div w:id="832526803">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1017659323">
                              <w:marLeft w:val="0"/>
                              <w:marRight w:val="0"/>
                              <w:marTop w:val="0"/>
                              <w:marBottom w:val="120"/>
                              <w:divBdr>
                                <w:top w:val="none" w:sz="0" w:space="0" w:color="auto"/>
                                <w:left w:val="none" w:sz="0" w:space="0" w:color="auto"/>
                                <w:bottom w:val="none" w:sz="0" w:space="0" w:color="auto"/>
                                <w:right w:val="none" w:sz="0" w:space="0" w:color="auto"/>
                              </w:divBdr>
                            </w:div>
                            <w:div w:id="233977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2319967">
          <w:marLeft w:val="0"/>
          <w:marRight w:val="0"/>
          <w:marTop w:val="0"/>
          <w:marBottom w:val="0"/>
          <w:divBdr>
            <w:top w:val="none" w:sz="0" w:space="0" w:color="auto"/>
            <w:left w:val="none" w:sz="0" w:space="0" w:color="auto"/>
            <w:bottom w:val="none" w:sz="0" w:space="0" w:color="auto"/>
            <w:right w:val="none" w:sz="0" w:space="0" w:color="auto"/>
          </w:divBdr>
          <w:divsChild>
            <w:div w:id="1312832748">
              <w:marLeft w:val="480"/>
              <w:marRight w:val="0"/>
              <w:marTop w:val="480"/>
              <w:marBottom w:val="0"/>
              <w:divBdr>
                <w:top w:val="none" w:sz="0" w:space="0" w:color="auto"/>
                <w:left w:val="none" w:sz="0" w:space="0" w:color="auto"/>
                <w:bottom w:val="none" w:sz="0" w:space="0" w:color="auto"/>
                <w:right w:val="none" w:sz="0" w:space="0" w:color="auto"/>
              </w:divBdr>
              <w:divsChild>
                <w:div w:id="710423354">
                  <w:marLeft w:val="0"/>
                  <w:marRight w:val="0"/>
                  <w:marTop w:val="0"/>
                  <w:marBottom w:val="0"/>
                  <w:divBdr>
                    <w:top w:val="none" w:sz="0" w:space="0" w:color="auto"/>
                    <w:left w:val="none" w:sz="0" w:space="0" w:color="auto"/>
                    <w:bottom w:val="none" w:sz="0" w:space="0" w:color="auto"/>
                    <w:right w:val="none" w:sz="0" w:space="0" w:color="auto"/>
                  </w:divBdr>
                  <w:divsChild>
                    <w:div w:id="76369811">
                      <w:marLeft w:val="0"/>
                      <w:marRight w:val="0"/>
                      <w:marTop w:val="0"/>
                      <w:marBottom w:val="0"/>
                      <w:divBdr>
                        <w:top w:val="none" w:sz="0" w:space="0" w:color="auto"/>
                        <w:left w:val="none" w:sz="0" w:space="0" w:color="auto"/>
                        <w:bottom w:val="none" w:sz="0" w:space="0" w:color="auto"/>
                        <w:right w:val="none" w:sz="0" w:space="0" w:color="auto"/>
                      </w:divBdr>
                      <w:divsChild>
                        <w:div w:id="1117873376">
                          <w:marLeft w:val="0"/>
                          <w:marRight w:val="0"/>
                          <w:marTop w:val="0"/>
                          <w:marBottom w:val="0"/>
                          <w:divBdr>
                            <w:top w:val="none" w:sz="0" w:space="0" w:color="auto"/>
                            <w:left w:val="none" w:sz="0" w:space="0" w:color="auto"/>
                            <w:bottom w:val="none" w:sz="0" w:space="0" w:color="auto"/>
                            <w:right w:val="none" w:sz="0" w:space="0" w:color="auto"/>
                          </w:divBdr>
                        </w:div>
                      </w:divsChild>
                    </w:div>
                    <w:div w:id="160389181">
                      <w:marLeft w:val="0"/>
                      <w:marRight w:val="0"/>
                      <w:marTop w:val="0"/>
                      <w:marBottom w:val="0"/>
                      <w:divBdr>
                        <w:top w:val="none" w:sz="0" w:space="0" w:color="auto"/>
                        <w:left w:val="none" w:sz="0" w:space="0" w:color="auto"/>
                        <w:bottom w:val="none" w:sz="0" w:space="0" w:color="auto"/>
                        <w:right w:val="none" w:sz="0" w:space="0" w:color="auto"/>
                      </w:divBdr>
                      <w:divsChild>
                        <w:div w:id="1548495391">
                          <w:marLeft w:val="0"/>
                          <w:marRight w:val="0"/>
                          <w:marTop w:val="0"/>
                          <w:marBottom w:val="0"/>
                          <w:divBdr>
                            <w:top w:val="none" w:sz="0" w:space="0" w:color="auto"/>
                            <w:left w:val="none" w:sz="0" w:space="0" w:color="auto"/>
                            <w:bottom w:val="none" w:sz="0" w:space="0" w:color="auto"/>
                            <w:right w:val="none" w:sz="0" w:space="0" w:color="auto"/>
                          </w:divBdr>
                        </w:div>
                      </w:divsChild>
                    </w:div>
                    <w:div w:id="1179197733">
                      <w:marLeft w:val="0"/>
                      <w:marRight w:val="0"/>
                      <w:marTop w:val="0"/>
                      <w:marBottom w:val="0"/>
                      <w:divBdr>
                        <w:top w:val="none" w:sz="0" w:space="0" w:color="auto"/>
                        <w:left w:val="none" w:sz="0" w:space="0" w:color="auto"/>
                        <w:bottom w:val="none" w:sz="0" w:space="0" w:color="auto"/>
                        <w:right w:val="none" w:sz="0" w:space="0" w:color="auto"/>
                      </w:divBdr>
                      <w:divsChild>
                        <w:div w:id="128399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0929505">
      <w:bodyDiv w:val="1"/>
      <w:marLeft w:val="0"/>
      <w:marRight w:val="0"/>
      <w:marTop w:val="0"/>
      <w:marBottom w:val="0"/>
      <w:divBdr>
        <w:top w:val="none" w:sz="0" w:space="0" w:color="auto"/>
        <w:left w:val="none" w:sz="0" w:space="0" w:color="auto"/>
        <w:bottom w:val="none" w:sz="0" w:space="0" w:color="auto"/>
        <w:right w:val="none" w:sz="0" w:space="0" w:color="auto"/>
      </w:divBdr>
      <w:divsChild>
        <w:div w:id="385684415">
          <w:marLeft w:val="0"/>
          <w:marRight w:val="0"/>
          <w:marTop w:val="0"/>
          <w:marBottom w:val="0"/>
          <w:divBdr>
            <w:top w:val="none" w:sz="0" w:space="0" w:color="auto"/>
            <w:left w:val="none" w:sz="0" w:space="0" w:color="auto"/>
            <w:bottom w:val="none" w:sz="0" w:space="0" w:color="auto"/>
            <w:right w:val="none" w:sz="0" w:space="0" w:color="auto"/>
          </w:divBdr>
          <w:divsChild>
            <w:div w:id="850029856">
              <w:marLeft w:val="0"/>
              <w:marRight w:val="0"/>
              <w:marTop w:val="0"/>
              <w:marBottom w:val="0"/>
              <w:divBdr>
                <w:top w:val="none" w:sz="0" w:space="0" w:color="auto"/>
                <w:left w:val="none" w:sz="0" w:space="0" w:color="auto"/>
                <w:bottom w:val="none" w:sz="0" w:space="0" w:color="auto"/>
                <w:right w:val="none" w:sz="0" w:space="0" w:color="auto"/>
              </w:divBdr>
              <w:divsChild>
                <w:div w:id="705567460">
                  <w:marLeft w:val="0"/>
                  <w:marRight w:val="0"/>
                  <w:marTop w:val="0"/>
                  <w:marBottom w:val="0"/>
                  <w:divBdr>
                    <w:top w:val="none" w:sz="0" w:space="0" w:color="auto"/>
                    <w:left w:val="none" w:sz="0" w:space="0" w:color="auto"/>
                    <w:bottom w:val="none" w:sz="0" w:space="0" w:color="auto"/>
                    <w:right w:val="none" w:sz="0" w:space="0" w:color="auto"/>
                  </w:divBdr>
                  <w:divsChild>
                    <w:div w:id="1643197978">
                      <w:marLeft w:val="0"/>
                      <w:marRight w:val="0"/>
                      <w:marTop w:val="0"/>
                      <w:marBottom w:val="0"/>
                      <w:divBdr>
                        <w:top w:val="none" w:sz="0" w:space="0" w:color="auto"/>
                        <w:left w:val="none" w:sz="0" w:space="0" w:color="auto"/>
                        <w:bottom w:val="none" w:sz="0" w:space="0" w:color="auto"/>
                        <w:right w:val="none" w:sz="0" w:space="0" w:color="auto"/>
                      </w:divBdr>
                      <w:divsChild>
                        <w:div w:id="972910018">
                          <w:marLeft w:val="0"/>
                          <w:marRight w:val="0"/>
                          <w:marTop w:val="0"/>
                          <w:marBottom w:val="0"/>
                          <w:divBdr>
                            <w:top w:val="none" w:sz="0" w:space="0" w:color="auto"/>
                            <w:left w:val="none" w:sz="0" w:space="0" w:color="auto"/>
                            <w:bottom w:val="none" w:sz="0" w:space="0" w:color="auto"/>
                            <w:right w:val="none" w:sz="0" w:space="0" w:color="auto"/>
                          </w:divBdr>
                          <w:divsChild>
                            <w:div w:id="288975848">
                              <w:marLeft w:val="0"/>
                              <w:marRight w:val="0"/>
                              <w:marTop w:val="0"/>
                              <w:marBottom w:val="0"/>
                              <w:divBdr>
                                <w:top w:val="none" w:sz="0" w:space="0" w:color="auto"/>
                                <w:left w:val="none" w:sz="0" w:space="0" w:color="auto"/>
                                <w:bottom w:val="none" w:sz="0" w:space="0" w:color="auto"/>
                                <w:right w:val="none" w:sz="0" w:space="0" w:color="auto"/>
                              </w:divBdr>
                              <w:divsChild>
                                <w:div w:id="574824553">
                                  <w:marLeft w:val="0"/>
                                  <w:marRight w:val="0"/>
                                  <w:marTop w:val="0"/>
                                  <w:marBottom w:val="240"/>
                                  <w:divBdr>
                                    <w:top w:val="none" w:sz="0" w:space="0" w:color="auto"/>
                                    <w:left w:val="none" w:sz="0" w:space="0" w:color="auto"/>
                                    <w:bottom w:val="none" w:sz="0" w:space="0" w:color="auto"/>
                                    <w:right w:val="none" w:sz="0" w:space="0" w:color="auto"/>
                                  </w:divBdr>
                                  <w:divsChild>
                                    <w:div w:id="1243611574">
                                      <w:marLeft w:val="0"/>
                                      <w:marRight w:val="0"/>
                                      <w:marTop w:val="0"/>
                                      <w:marBottom w:val="0"/>
                                      <w:divBdr>
                                        <w:top w:val="none" w:sz="0" w:space="0" w:color="auto"/>
                                        <w:left w:val="none" w:sz="0" w:space="0" w:color="auto"/>
                                        <w:bottom w:val="none" w:sz="0" w:space="0" w:color="auto"/>
                                        <w:right w:val="none" w:sz="0" w:space="0" w:color="auto"/>
                                      </w:divBdr>
                                    </w:div>
                                  </w:divsChild>
                                </w:div>
                                <w:div w:id="77292038">
                                  <w:marLeft w:val="0"/>
                                  <w:marRight w:val="0"/>
                                  <w:marTop w:val="0"/>
                                  <w:marBottom w:val="0"/>
                                  <w:divBdr>
                                    <w:top w:val="none" w:sz="0" w:space="0" w:color="auto"/>
                                    <w:left w:val="none" w:sz="0" w:space="0" w:color="auto"/>
                                    <w:bottom w:val="none" w:sz="0" w:space="0" w:color="auto"/>
                                    <w:right w:val="none" w:sz="0" w:space="0" w:color="auto"/>
                                  </w:divBdr>
                                  <w:divsChild>
                                    <w:div w:id="740712738">
                                      <w:marLeft w:val="0"/>
                                      <w:marRight w:val="0"/>
                                      <w:marTop w:val="0"/>
                                      <w:marBottom w:val="0"/>
                                      <w:divBdr>
                                        <w:top w:val="none" w:sz="0" w:space="0" w:color="auto"/>
                                        <w:left w:val="none" w:sz="0" w:space="0" w:color="auto"/>
                                        <w:bottom w:val="none" w:sz="0" w:space="0" w:color="auto"/>
                                        <w:right w:val="none" w:sz="0" w:space="0" w:color="auto"/>
                                      </w:divBdr>
                                      <w:divsChild>
                                        <w:div w:id="148905143">
                                          <w:marLeft w:val="0"/>
                                          <w:marRight w:val="0"/>
                                          <w:marTop w:val="0"/>
                                          <w:marBottom w:val="0"/>
                                          <w:divBdr>
                                            <w:top w:val="none" w:sz="0" w:space="0" w:color="auto"/>
                                            <w:left w:val="none" w:sz="0" w:space="0" w:color="auto"/>
                                            <w:bottom w:val="none" w:sz="0" w:space="0" w:color="auto"/>
                                            <w:right w:val="none" w:sz="0" w:space="0" w:color="auto"/>
                                          </w:divBdr>
                                          <w:divsChild>
                                            <w:div w:id="1423064778">
                                              <w:marLeft w:val="0"/>
                                              <w:marRight w:val="0"/>
                                              <w:marTop w:val="0"/>
                                              <w:marBottom w:val="0"/>
                                              <w:divBdr>
                                                <w:top w:val="none" w:sz="0" w:space="0" w:color="auto"/>
                                                <w:left w:val="none" w:sz="0" w:space="0" w:color="auto"/>
                                                <w:bottom w:val="none" w:sz="0" w:space="0" w:color="auto"/>
                                                <w:right w:val="none" w:sz="0" w:space="0" w:color="auto"/>
                                              </w:divBdr>
                                              <w:divsChild>
                                                <w:div w:id="1686177107">
                                                  <w:marLeft w:val="0"/>
                                                  <w:marRight w:val="0"/>
                                                  <w:marTop w:val="0"/>
                                                  <w:marBottom w:val="0"/>
                                                  <w:divBdr>
                                                    <w:top w:val="none" w:sz="0" w:space="0" w:color="auto"/>
                                                    <w:left w:val="none" w:sz="0" w:space="0" w:color="auto"/>
                                                    <w:bottom w:val="none" w:sz="0" w:space="0" w:color="auto"/>
                                                    <w:right w:val="none" w:sz="0" w:space="0" w:color="auto"/>
                                                  </w:divBdr>
                                                </w:div>
                                              </w:divsChild>
                                            </w:div>
                                            <w:div w:id="83110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478822">
                                  <w:marLeft w:val="0"/>
                                  <w:marRight w:val="0"/>
                                  <w:marTop w:val="0"/>
                                  <w:marBottom w:val="0"/>
                                  <w:divBdr>
                                    <w:top w:val="none" w:sz="0" w:space="0" w:color="auto"/>
                                    <w:left w:val="none" w:sz="0" w:space="0" w:color="auto"/>
                                    <w:bottom w:val="none" w:sz="0" w:space="0" w:color="auto"/>
                                    <w:right w:val="none" w:sz="0" w:space="0" w:color="auto"/>
                                  </w:divBdr>
                                  <w:divsChild>
                                    <w:div w:id="1101148465">
                                      <w:marLeft w:val="0"/>
                                      <w:marRight w:val="0"/>
                                      <w:marTop w:val="0"/>
                                      <w:marBottom w:val="0"/>
                                      <w:divBdr>
                                        <w:top w:val="none" w:sz="0" w:space="0" w:color="auto"/>
                                        <w:left w:val="none" w:sz="0" w:space="0" w:color="auto"/>
                                        <w:bottom w:val="none" w:sz="0" w:space="0" w:color="auto"/>
                                        <w:right w:val="none" w:sz="0" w:space="0" w:color="auto"/>
                                      </w:divBdr>
                                      <w:divsChild>
                                        <w:div w:id="637301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54458845">
          <w:marLeft w:val="1899"/>
          <w:marRight w:val="0"/>
          <w:marTop w:val="0"/>
          <w:marBottom w:val="0"/>
          <w:divBdr>
            <w:top w:val="none" w:sz="0" w:space="0" w:color="auto"/>
            <w:left w:val="none" w:sz="0" w:space="0" w:color="auto"/>
            <w:bottom w:val="none" w:sz="0" w:space="0" w:color="auto"/>
            <w:right w:val="none" w:sz="0" w:space="0" w:color="auto"/>
          </w:divBdr>
        </w:div>
        <w:div w:id="147786579">
          <w:marLeft w:val="1899"/>
          <w:marRight w:val="0"/>
          <w:marTop w:val="0"/>
          <w:marBottom w:val="0"/>
          <w:divBdr>
            <w:top w:val="none" w:sz="0" w:space="0" w:color="auto"/>
            <w:left w:val="none" w:sz="0" w:space="0" w:color="auto"/>
            <w:bottom w:val="none" w:sz="0" w:space="0" w:color="auto"/>
            <w:right w:val="none" w:sz="0" w:space="0" w:color="auto"/>
          </w:divBdr>
          <w:divsChild>
            <w:div w:id="1467351287">
              <w:marLeft w:val="0"/>
              <w:marRight w:val="0"/>
              <w:marTop w:val="480"/>
              <w:marBottom w:val="0"/>
              <w:divBdr>
                <w:top w:val="none" w:sz="0" w:space="0" w:color="auto"/>
                <w:left w:val="none" w:sz="0" w:space="0" w:color="auto"/>
                <w:bottom w:val="none" w:sz="0" w:space="0" w:color="auto"/>
                <w:right w:val="none" w:sz="0" w:space="0" w:color="auto"/>
              </w:divBdr>
              <w:divsChild>
                <w:div w:id="1289553185">
                  <w:marLeft w:val="0"/>
                  <w:marRight w:val="0"/>
                  <w:marTop w:val="0"/>
                  <w:marBottom w:val="0"/>
                  <w:divBdr>
                    <w:top w:val="none" w:sz="0" w:space="0" w:color="auto"/>
                    <w:left w:val="none" w:sz="0" w:space="0" w:color="auto"/>
                    <w:bottom w:val="none" w:sz="0" w:space="0" w:color="auto"/>
                    <w:right w:val="none" w:sz="0" w:space="0" w:color="auto"/>
                  </w:divBdr>
                  <w:divsChild>
                    <w:div w:id="763300785">
                      <w:marLeft w:val="0"/>
                      <w:marRight w:val="0"/>
                      <w:marTop w:val="0"/>
                      <w:marBottom w:val="0"/>
                      <w:divBdr>
                        <w:top w:val="none" w:sz="0" w:space="0" w:color="auto"/>
                        <w:left w:val="none" w:sz="0" w:space="0" w:color="auto"/>
                        <w:bottom w:val="none" w:sz="0" w:space="0" w:color="auto"/>
                        <w:right w:val="none" w:sz="0" w:space="0" w:color="auto"/>
                      </w:divBdr>
                      <w:divsChild>
                        <w:div w:id="1584803824">
                          <w:marLeft w:val="0"/>
                          <w:marRight w:val="0"/>
                          <w:marTop w:val="0"/>
                          <w:marBottom w:val="0"/>
                          <w:divBdr>
                            <w:top w:val="none" w:sz="0" w:space="0" w:color="auto"/>
                            <w:left w:val="none" w:sz="0" w:space="0" w:color="auto"/>
                            <w:bottom w:val="none" w:sz="0" w:space="0" w:color="auto"/>
                            <w:right w:val="none" w:sz="0" w:space="0" w:color="auto"/>
                          </w:divBdr>
                        </w:div>
                      </w:divsChild>
                    </w:div>
                    <w:div w:id="1796827465">
                      <w:marLeft w:val="0"/>
                      <w:marRight w:val="0"/>
                      <w:marTop w:val="0"/>
                      <w:marBottom w:val="0"/>
                      <w:divBdr>
                        <w:top w:val="none" w:sz="0" w:space="0" w:color="auto"/>
                        <w:left w:val="none" w:sz="0" w:space="0" w:color="auto"/>
                        <w:bottom w:val="none" w:sz="0" w:space="0" w:color="auto"/>
                        <w:right w:val="none" w:sz="0" w:space="0" w:color="auto"/>
                      </w:divBdr>
                      <w:divsChild>
                        <w:div w:id="857429398">
                          <w:marLeft w:val="0"/>
                          <w:marRight w:val="0"/>
                          <w:marTop w:val="0"/>
                          <w:marBottom w:val="0"/>
                          <w:divBdr>
                            <w:top w:val="none" w:sz="0" w:space="0" w:color="auto"/>
                            <w:left w:val="none" w:sz="0" w:space="0" w:color="auto"/>
                            <w:bottom w:val="none" w:sz="0" w:space="0" w:color="auto"/>
                            <w:right w:val="none" w:sz="0" w:space="0" w:color="auto"/>
                          </w:divBdr>
                          <w:divsChild>
                            <w:div w:id="1565869632">
                              <w:marLeft w:val="0"/>
                              <w:marRight w:val="0"/>
                              <w:marTop w:val="0"/>
                              <w:marBottom w:val="0"/>
                              <w:divBdr>
                                <w:top w:val="none" w:sz="0" w:space="0" w:color="auto"/>
                                <w:left w:val="none" w:sz="0" w:space="0" w:color="auto"/>
                                <w:bottom w:val="none" w:sz="0" w:space="0" w:color="auto"/>
                                <w:right w:val="none" w:sz="0" w:space="0" w:color="auto"/>
                              </w:divBdr>
                              <w:divsChild>
                                <w:div w:id="83457858">
                                  <w:marLeft w:val="0"/>
                                  <w:marRight w:val="0"/>
                                  <w:marTop w:val="0"/>
                                  <w:marBottom w:val="0"/>
                                  <w:divBdr>
                                    <w:top w:val="none" w:sz="0" w:space="0" w:color="auto"/>
                                    <w:left w:val="none" w:sz="0" w:space="0" w:color="auto"/>
                                    <w:bottom w:val="none" w:sz="0" w:space="0" w:color="auto"/>
                                    <w:right w:val="none" w:sz="0" w:space="0" w:color="auto"/>
                                  </w:divBdr>
                                </w:div>
                              </w:divsChild>
                            </w:div>
                            <w:div w:id="75055668">
                              <w:marLeft w:val="0"/>
                              <w:marRight w:val="0"/>
                              <w:marTop w:val="0"/>
                              <w:marBottom w:val="0"/>
                              <w:divBdr>
                                <w:top w:val="none" w:sz="0" w:space="0" w:color="auto"/>
                                <w:left w:val="none" w:sz="0" w:space="0" w:color="auto"/>
                                <w:bottom w:val="none" w:sz="0" w:space="0" w:color="auto"/>
                                <w:right w:val="none" w:sz="0" w:space="0" w:color="auto"/>
                              </w:divBdr>
                              <w:divsChild>
                                <w:div w:id="884096678">
                                  <w:marLeft w:val="0"/>
                                  <w:marRight w:val="0"/>
                                  <w:marTop w:val="0"/>
                                  <w:marBottom w:val="0"/>
                                  <w:divBdr>
                                    <w:top w:val="none" w:sz="0" w:space="0" w:color="auto"/>
                                    <w:left w:val="none" w:sz="0" w:space="0" w:color="auto"/>
                                    <w:bottom w:val="none" w:sz="0" w:space="0" w:color="auto"/>
                                    <w:right w:val="none" w:sz="0" w:space="0" w:color="auto"/>
                                  </w:divBdr>
                                  <w:divsChild>
                                    <w:div w:id="126050034">
                                      <w:marLeft w:val="0"/>
                                      <w:marRight w:val="0"/>
                                      <w:marTop w:val="0"/>
                                      <w:marBottom w:val="0"/>
                                      <w:divBdr>
                                        <w:top w:val="none" w:sz="0" w:space="0" w:color="auto"/>
                                        <w:left w:val="none" w:sz="0" w:space="0" w:color="auto"/>
                                        <w:bottom w:val="none" w:sz="0" w:space="0" w:color="auto"/>
                                        <w:right w:val="none" w:sz="0" w:space="0" w:color="auto"/>
                                      </w:divBdr>
                                      <w:divsChild>
                                        <w:div w:id="550731104">
                                          <w:marLeft w:val="0"/>
                                          <w:marRight w:val="0"/>
                                          <w:marTop w:val="120"/>
                                          <w:marBottom w:val="0"/>
                                          <w:divBdr>
                                            <w:top w:val="none" w:sz="0" w:space="0" w:color="auto"/>
                                            <w:left w:val="none" w:sz="0" w:space="0" w:color="auto"/>
                                            <w:bottom w:val="none" w:sz="0" w:space="0" w:color="auto"/>
                                            <w:right w:val="none" w:sz="0" w:space="0" w:color="auto"/>
                                          </w:divBdr>
                                        </w:div>
                                      </w:divsChild>
                                    </w:div>
                                    <w:div w:id="45957726">
                                      <w:marLeft w:val="0"/>
                                      <w:marRight w:val="0"/>
                                      <w:marTop w:val="0"/>
                                      <w:marBottom w:val="0"/>
                                      <w:divBdr>
                                        <w:top w:val="none" w:sz="0" w:space="0" w:color="auto"/>
                                        <w:left w:val="none" w:sz="0" w:space="0" w:color="auto"/>
                                        <w:bottom w:val="none" w:sz="0" w:space="0" w:color="auto"/>
                                        <w:right w:val="none" w:sz="0" w:space="0" w:color="auto"/>
                                      </w:divBdr>
                                      <w:divsChild>
                                        <w:div w:id="20325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455690">
                              <w:marLeft w:val="0"/>
                              <w:marRight w:val="0"/>
                              <w:marTop w:val="0"/>
                              <w:marBottom w:val="0"/>
                              <w:divBdr>
                                <w:top w:val="none" w:sz="0" w:space="0" w:color="auto"/>
                                <w:left w:val="none" w:sz="0" w:space="0" w:color="auto"/>
                                <w:bottom w:val="none" w:sz="0" w:space="0" w:color="auto"/>
                                <w:right w:val="none" w:sz="0" w:space="0" w:color="auto"/>
                              </w:divBdr>
                              <w:divsChild>
                                <w:div w:id="1116680663">
                                  <w:marLeft w:val="0"/>
                                  <w:marRight w:val="0"/>
                                  <w:marTop w:val="0"/>
                                  <w:marBottom w:val="0"/>
                                  <w:divBdr>
                                    <w:top w:val="none" w:sz="0" w:space="0" w:color="auto"/>
                                    <w:left w:val="none" w:sz="0" w:space="0" w:color="auto"/>
                                    <w:bottom w:val="none" w:sz="0" w:space="0" w:color="auto"/>
                                    <w:right w:val="none" w:sz="0" w:space="0" w:color="auto"/>
                                  </w:divBdr>
                                  <w:divsChild>
                                    <w:div w:id="1729182479">
                                      <w:marLeft w:val="0"/>
                                      <w:marRight w:val="0"/>
                                      <w:marTop w:val="0"/>
                                      <w:marBottom w:val="0"/>
                                      <w:divBdr>
                                        <w:top w:val="none" w:sz="0" w:space="0" w:color="auto"/>
                                        <w:left w:val="none" w:sz="0" w:space="0" w:color="auto"/>
                                        <w:bottom w:val="none" w:sz="0" w:space="0" w:color="auto"/>
                                        <w:right w:val="none" w:sz="0" w:space="0" w:color="auto"/>
                                      </w:divBdr>
                                      <w:divsChild>
                                        <w:div w:id="1928076886">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1520856737">
                              <w:marLeft w:val="0"/>
                              <w:marRight w:val="0"/>
                              <w:marTop w:val="0"/>
                              <w:marBottom w:val="0"/>
                              <w:divBdr>
                                <w:top w:val="none" w:sz="0" w:space="0" w:color="auto"/>
                                <w:left w:val="none" w:sz="0" w:space="0" w:color="auto"/>
                                <w:bottom w:val="none" w:sz="0" w:space="0" w:color="auto"/>
                                <w:right w:val="none" w:sz="0" w:space="0" w:color="auto"/>
                              </w:divBdr>
                              <w:divsChild>
                                <w:div w:id="1352998433">
                                  <w:marLeft w:val="0"/>
                                  <w:marRight w:val="0"/>
                                  <w:marTop w:val="0"/>
                                  <w:marBottom w:val="0"/>
                                  <w:divBdr>
                                    <w:top w:val="none" w:sz="0" w:space="0" w:color="auto"/>
                                    <w:left w:val="none" w:sz="0" w:space="0" w:color="auto"/>
                                    <w:bottom w:val="none" w:sz="0" w:space="0" w:color="auto"/>
                                    <w:right w:val="none" w:sz="0" w:space="0" w:color="auto"/>
                                  </w:divBdr>
                                  <w:divsChild>
                                    <w:div w:id="2128617700">
                                      <w:marLeft w:val="0"/>
                                      <w:marRight w:val="0"/>
                                      <w:marTop w:val="0"/>
                                      <w:marBottom w:val="0"/>
                                      <w:divBdr>
                                        <w:top w:val="none" w:sz="0" w:space="0" w:color="auto"/>
                                        <w:left w:val="none" w:sz="0" w:space="0" w:color="auto"/>
                                        <w:bottom w:val="none" w:sz="0" w:space="0" w:color="auto"/>
                                        <w:right w:val="none" w:sz="0" w:space="0" w:color="auto"/>
                                      </w:divBdr>
                                      <w:divsChild>
                                        <w:div w:id="267280958">
                                          <w:marLeft w:val="0"/>
                                          <w:marRight w:val="0"/>
                                          <w:marTop w:val="120"/>
                                          <w:marBottom w:val="0"/>
                                          <w:divBdr>
                                            <w:top w:val="none" w:sz="0" w:space="0" w:color="auto"/>
                                            <w:left w:val="none" w:sz="0" w:space="0" w:color="auto"/>
                                            <w:bottom w:val="none" w:sz="0" w:space="0" w:color="auto"/>
                                            <w:right w:val="none" w:sz="0" w:space="0" w:color="auto"/>
                                          </w:divBdr>
                                        </w:div>
                                      </w:divsChild>
                                    </w:div>
                                    <w:div w:id="902108447">
                                      <w:marLeft w:val="0"/>
                                      <w:marRight w:val="0"/>
                                      <w:marTop w:val="0"/>
                                      <w:marBottom w:val="0"/>
                                      <w:divBdr>
                                        <w:top w:val="none" w:sz="0" w:space="0" w:color="auto"/>
                                        <w:left w:val="none" w:sz="0" w:space="0" w:color="auto"/>
                                        <w:bottom w:val="none" w:sz="0" w:space="0" w:color="auto"/>
                                        <w:right w:val="none" w:sz="0" w:space="0" w:color="auto"/>
                                      </w:divBdr>
                                      <w:divsChild>
                                        <w:div w:id="1693454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01662465">
          <w:marLeft w:val="1899"/>
          <w:marRight w:val="0"/>
          <w:marTop w:val="0"/>
          <w:marBottom w:val="0"/>
          <w:divBdr>
            <w:top w:val="none" w:sz="0" w:space="0" w:color="auto"/>
            <w:left w:val="none" w:sz="0" w:space="0" w:color="auto"/>
            <w:bottom w:val="none" w:sz="0" w:space="0" w:color="auto"/>
            <w:right w:val="none" w:sz="0" w:space="0" w:color="auto"/>
          </w:divBdr>
          <w:divsChild>
            <w:div w:id="601646266">
              <w:marLeft w:val="0"/>
              <w:marRight w:val="480"/>
              <w:marTop w:val="480"/>
              <w:marBottom w:val="0"/>
              <w:divBdr>
                <w:top w:val="none" w:sz="0" w:space="0" w:color="auto"/>
                <w:left w:val="none" w:sz="0" w:space="0" w:color="auto"/>
                <w:bottom w:val="none" w:sz="0" w:space="0" w:color="auto"/>
                <w:right w:val="none" w:sz="0" w:space="0" w:color="auto"/>
              </w:divBdr>
              <w:divsChild>
                <w:div w:id="17509266">
                  <w:marLeft w:val="0"/>
                  <w:marRight w:val="0"/>
                  <w:marTop w:val="0"/>
                  <w:marBottom w:val="0"/>
                  <w:divBdr>
                    <w:top w:val="none" w:sz="0" w:space="0" w:color="auto"/>
                    <w:left w:val="none" w:sz="0" w:space="0" w:color="auto"/>
                    <w:bottom w:val="none" w:sz="0" w:space="0" w:color="auto"/>
                    <w:right w:val="none" w:sz="0" w:space="0" w:color="auto"/>
                  </w:divBdr>
                  <w:divsChild>
                    <w:div w:id="356932655">
                      <w:marLeft w:val="0"/>
                      <w:marRight w:val="0"/>
                      <w:marTop w:val="0"/>
                      <w:marBottom w:val="0"/>
                      <w:divBdr>
                        <w:top w:val="none" w:sz="0" w:space="0" w:color="auto"/>
                        <w:left w:val="none" w:sz="0" w:space="0" w:color="auto"/>
                        <w:bottom w:val="none" w:sz="0" w:space="0" w:color="auto"/>
                        <w:right w:val="none" w:sz="0" w:space="0" w:color="auto"/>
                      </w:divBdr>
                      <w:divsChild>
                        <w:div w:id="1963532427">
                          <w:marLeft w:val="0"/>
                          <w:marRight w:val="0"/>
                          <w:marTop w:val="0"/>
                          <w:marBottom w:val="0"/>
                          <w:divBdr>
                            <w:top w:val="none" w:sz="0" w:space="0" w:color="auto"/>
                            <w:left w:val="none" w:sz="0" w:space="0" w:color="auto"/>
                            <w:bottom w:val="none" w:sz="0" w:space="0" w:color="auto"/>
                            <w:right w:val="none" w:sz="0" w:space="0" w:color="auto"/>
                          </w:divBdr>
                        </w:div>
                      </w:divsChild>
                    </w:div>
                    <w:div w:id="66727896">
                      <w:marLeft w:val="0"/>
                      <w:marRight w:val="0"/>
                      <w:marTop w:val="0"/>
                      <w:marBottom w:val="0"/>
                      <w:divBdr>
                        <w:top w:val="none" w:sz="0" w:space="0" w:color="auto"/>
                        <w:left w:val="none" w:sz="0" w:space="0" w:color="auto"/>
                        <w:bottom w:val="none" w:sz="0" w:space="0" w:color="auto"/>
                        <w:right w:val="none" w:sz="0" w:space="0" w:color="auto"/>
                      </w:divBdr>
                      <w:divsChild>
                        <w:div w:id="793986690">
                          <w:marLeft w:val="0"/>
                          <w:marRight w:val="0"/>
                          <w:marTop w:val="120"/>
                          <w:marBottom w:val="120"/>
                          <w:divBdr>
                            <w:top w:val="single" w:sz="12" w:space="18" w:color="4F9EB2"/>
                            <w:left w:val="single" w:sz="12" w:space="18" w:color="4F9EB2"/>
                            <w:bottom w:val="single" w:sz="12" w:space="18" w:color="4F9EB2"/>
                            <w:right w:val="single" w:sz="12" w:space="18" w:color="4F9EB2"/>
                          </w:divBdr>
                          <w:divsChild>
                            <w:div w:id="138310050">
                              <w:marLeft w:val="0"/>
                              <w:marRight w:val="0"/>
                              <w:marTop w:val="0"/>
                              <w:marBottom w:val="120"/>
                              <w:divBdr>
                                <w:top w:val="none" w:sz="0" w:space="0" w:color="auto"/>
                                <w:left w:val="none" w:sz="0" w:space="0" w:color="auto"/>
                                <w:bottom w:val="none" w:sz="0" w:space="0" w:color="auto"/>
                                <w:right w:val="none" w:sz="0" w:space="0" w:color="auto"/>
                              </w:divBdr>
                            </w:div>
                            <w:div w:id="4051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823743">
          <w:marLeft w:val="0"/>
          <w:marRight w:val="0"/>
          <w:marTop w:val="0"/>
          <w:marBottom w:val="0"/>
          <w:divBdr>
            <w:top w:val="none" w:sz="0" w:space="0" w:color="auto"/>
            <w:left w:val="none" w:sz="0" w:space="0" w:color="auto"/>
            <w:bottom w:val="none" w:sz="0" w:space="0" w:color="auto"/>
            <w:right w:val="none" w:sz="0" w:space="0" w:color="auto"/>
          </w:divBdr>
          <w:divsChild>
            <w:div w:id="213320457">
              <w:marLeft w:val="480"/>
              <w:marRight w:val="0"/>
              <w:marTop w:val="480"/>
              <w:marBottom w:val="0"/>
              <w:divBdr>
                <w:top w:val="none" w:sz="0" w:space="0" w:color="auto"/>
                <w:left w:val="none" w:sz="0" w:space="0" w:color="auto"/>
                <w:bottom w:val="none" w:sz="0" w:space="0" w:color="auto"/>
                <w:right w:val="none" w:sz="0" w:space="0" w:color="auto"/>
              </w:divBdr>
              <w:divsChild>
                <w:div w:id="1874076995">
                  <w:marLeft w:val="0"/>
                  <w:marRight w:val="0"/>
                  <w:marTop w:val="0"/>
                  <w:marBottom w:val="0"/>
                  <w:divBdr>
                    <w:top w:val="none" w:sz="0" w:space="0" w:color="auto"/>
                    <w:left w:val="none" w:sz="0" w:space="0" w:color="auto"/>
                    <w:bottom w:val="none" w:sz="0" w:space="0" w:color="auto"/>
                    <w:right w:val="none" w:sz="0" w:space="0" w:color="auto"/>
                  </w:divBdr>
                  <w:divsChild>
                    <w:div w:id="828520548">
                      <w:marLeft w:val="0"/>
                      <w:marRight w:val="0"/>
                      <w:marTop w:val="0"/>
                      <w:marBottom w:val="0"/>
                      <w:divBdr>
                        <w:top w:val="none" w:sz="0" w:space="0" w:color="auto"/>
                        <w:left w:val="none" w:sz="0" w:space="0" w:color="auto"/>
                        <w:bottom w:val="none" w:sz="0" w:space="0" w:color="auto"/>
                        <w:right w:val="none" w:sz="0" w:space="0" w:color="auto"/>
                      </w:divBdr>
                      <w:divsChild>
                        <w:div w:id="1968661889">
                          <w:marLeft w:val="0"/>
                          <w:marRight w:val="0"/>
                          <w:marTop w:val="0"/>
                          <w:marBottom w:val="0"/>
                          <w:divBdr>
                            <w:top w:val="none" w:sz="0" w:space="0" w:color="auto"/>
                            <w:left w:val="none" w:sz="0" w:space="0" w:color="auto"/>
                            <w:bottom w:val="none" w:sz="0" w:space="0" w:color="auto"/>
                            <w:right w:val="none" w:sz="0" w:space="0" w:color="auto"/>
                          </w:divBdr>
                        </w:div>
                      </w:divsChild>
                    </w:div>
                    <w:div w:id="312950531">
                      <w:marLeft w:val="0"/>
                      <w:marRight w:val="0"/>
                      <w:marTop w:val="0"/>
                      <w:marBottom w:val="0"/>
                      <w:divBdr>
                        <w:top w:val="none" w:sz="0" w:space="0" w:color="auto"/>
                        <w:left w:val="none" w:sz="0" w:space="0" w:color="auto"/>
                        <w:bottom w:val="none" w:sz="0" w:space="0" w:color="auto"/>
                        <w:right w:val="none" w:sz="0" w:space="0" w:color="auto"/>
                      </w:divBdr>
                      <w:divsChild>
                        <w:div w:id="9454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ico.com/blogs/author/sebastian-hetzler" TargetMode="External"/><Relationship Id="rId18" Type="http://schemas.openxmlformats.org/officeDocument/2006/relationships/hyperlink" Target="https://www.fincen.gov/sites/default/files/advisory/advisu9.pdf" TargetMode="External"/><Relationship Id="rId26" Type="http://schemas.openxmlformats.org/officeDocument/2006/relationships/hyperlink" Target="https://www.fatf-gafi.org/en/publications.html" TargetMode="External"/><Relationship Id="rId39" Type="http://schemas.openxmlformats.org/officeDocument/2006/relationships/hyperlink" Target="http://www.fatf-gafi.org/publications/methodsandtrends/documents/trade-basedmoneylaundering.html" TargetMode="External"/><Relationship Id="rId21" Type="http://schemas.openxmlformats.org/officeDocument/2006/relationships/hyperlink" Target="https://www.fatf-gafi.org/en/home.html" TargetMode="External"/><Relationship Id="rId34" Type="http://schemas.openxmlformats.org/officeDocument/2006/relationships/image" Target="media/image9.jpeg"/><Relationship Id="rId42" Type="http://schemas.openxmlformats.org/officeDocument/2006/relationships/image" Target="media/image10.gif"/><Relationship Id="rId47" Type="http://schemas.openxmlformats.org/officeDocument/2006/relationships/image" Target="media/image11.gif"/><Relationship Id="rId50" Type="http://schemas.openxmlformats.org/officeDocument/2006/relationships/hyperlink" Target="https://www.fatf-gafi.org/en/publications/Fatfrecommendations/Bestpracticesontradebasedmoneylaundering.html" TargetMode="External"/><Relationship Id="rId55" Type="http://schemas.openxmlformats.org/officeDocument/2006/relationships/hyperlink" Target="https://www.fatf-gafi.org/en/publications/Fatfrecommendations/Ixspecialrecommendations.html" TargetMode="External"/><Relationship Id="rId7" Type="http://schemas.openxmlformats.org/officeDocument/2006/relationships/hyperlink" Target="http://www.fatf-gafi.org/media/fatf/content/images/Trade-Based-Money-Laundering-Risk-Indicators.pdf" TargetMode="External"/><Relationship Id="rId2" Type="http://schemas.openxmlformats.org/officeDocument/2006/relationships/styles" Target="styles.xml"/><Relationship Id="rId16" Type="http://schemas.openxmlformats.org/officeDocument/2006/relationships/hyperlink" Target="http://www.fatf-gafi.org/publications/methodsandtrends/documents/trade-based-money-laundering-trends-and-developments.html" TargetMode="External"/><Relationship Id="rId29" Type="http://schemas.openxmlformats.org/officeDocument/2006/relationships/hyperlink" Target="https://www.fatf-gafi.org/content/dam/fatf/content/Trade-Based-Money-Laundering-Trends-and-Developments.pdf.coredownload.pdf" TargetMode="External"/><Relationship Id="rId11" Type="http://schemas.openxmlformats.org/officeDocument/2006/relationships/hyperlink" Target="https://www.fico.com/blogs/author/sebastian-hetzler" TargetMode="External"/><Relationship Id="rId24" Type="http://schemas.openxmlformats.org/officeDocument/2006/relationships/image" Target="media/image6.png"/><Relationship Id="rId32" Type="http://schemas.openxmlformats.org/officeDocument/2006/relationships/image" Target="media/image8.jpeg"/><Relationship Id="rId37" Type="http://schemas.openxmlformats.org/officeDocument/2006/relationships/hyperlink" Target="http://www.fatf-gafi.org/publications/methodsandtrends/documents/trade-basedmoneylaunderingtypologies.html" TargetMode="External"/><Relationship Id="rId40" Type="http://schemas.openxmlformats.org/officeDocument/2006/relationships/hyperlink" Target="https://www.fatf-gafi.org/en/home.html" TargetMode="External"/><Relationship Id="rId45" Type="http://schemas.openxmlformats.org/officeDocument/2006/relationships/hyperlink" Target="mailto:mail@apgml.org" TargetMode="External"/><Relationship Id="rId53" Type="http://schemas.openxmlformats.org/officeDocument/2006/relationships/hyperlink" Target="https://www.fatf-gafi.org/en/topics/fatf-recommendations.html" TargetMode="External"/><Relationship Id="rId5" Type="http://schemas.openxmlformats.org/officeDocument/2006/relationships/image" Target="media/image1.jpeg"/><Relationship Id="rId19"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hyperlink" Target="https://www.eastnets.com/products/crime-and-compliance/safetrade" TargetMode="External"/><Relationship Id="rId14" Type="http://schemas.openxmlformats.org/officeDocument/2006/relationships/hyperlink" Target="https://www.gao.gov/products/GAO-20-314R" TargetMode="External"/><Relationship Id="rId22" Type="http://schemas.openxmlformats.org/officeDocument/2006/relationships/image" Target="media/image5.png"/><Relationship Id="rId27" Type="http://schemas.openxmlformats.org/officeDocument/2006/relationships/hyperlink" Target="https://www.fatf-gafi.org/fr/publications/methodesettendances/Blanchiment-capitaux-commerce.html" TargetMode="External"/><Relationship Id="rId30" Type="http://schemas.openxmlformats.org/officeDocument/2006/relationships/hyperlink" Target="https://www.fatf-gafi.org/content/dam/fatf/content/Trade-Based-Money-Laundering-Trends-and-Developments.pdf.coredownload.pdf" TargetMode="External"/><Relationship Id="rId35" Type="http://schemas.openxmlformats.org/officeDocument/2006/relationships/hyperlink" Target="https://www.fatf-gafi.org/content/dam/fatf/documents/Handout-Trade-Based-Money-Laundering-Public-Sector.pdf" TargetMode="External"/><Relationship Id="rId43" Type="http://schemas.openxmlformats.org/officeDocument/2006/relationships/hyperlink" Target="https://www.fatf-gafi.org/content/dam/fatf/documents/reports/Trade_Based_ML_APGReport.pdf.coredownload.pdf" TargetMode="External"/><Relationship Id="rId48" Type="http://schemas.openxmlformats.org/officeDocument/2006/relationships/hyperlink" Target="https://www.fatf-gafi.org/content/dam/fatf/documents/reports/Trade%20Based%20Money%20Laundering.pdf.coredownload.pdf" TargetMode="External"/><Relationship Id="rId56" Type="http://schemas.openxmlformats.org/officeDocument/2006/relationships/fontTable" Target="fontTable.xml"/><Relationship Id="rId8" Type="http://schemas.openxmlformats.org/officeDocument/2006/relationships/hyperlink" Target="https://www.gao.gov/products/gao-20-314r" TargetMode="External"/><Relationship Id="rId51" Type="http://schemas.openxmlformats.org/officeDocument/2006/relationships/hyperlink" Target="https://www.fatf-gafi.org/en/home.html" TargetMode="External"/><Relationship Id="rId3" Type="http://schemas.openxmlformats.org/officeDocument/2006/relationships/settings" Target="settings.xml"/><Relationship Id="rId12" Type="http://schemas.openxmlformats.org/officeDocument/2006/relationships/image" Target="media/image3.jpeg"/><Relationship Id="rId17" Type="http://schemas.openxmlformats.org/officeDocument/2006/relationships/hyperlink" Target="https://www.treasury.gov/press-center/press-releases/Pages/jl0072.aspx" TargetMode="External"/><Relationship Id="rId25" Type="http://schemas.openxmlformats.org/officeDocument/2006/relationships/hyperlink" Target="https://www.fatf-gafi.org/en/home.html" TargetMode="External"/><Relationship Id="rId33" Type="http://schemas.openxmlformats.org/officeDocument/2006/relationships/hyperlink" Target="https://www.fatf-gafi.org/content/dam/fatf/documents/Handout-Trade-Based-Money-Laundering-Private-Sector.pdf" TargetMode="External"/><Relationship Id="rId38" Type="http://schemas.openxmlformats.org/officeDocument/2006/relationships/hyperlink" Target="http://www.fatf-gafi.org/publications/fatfrecommendations/documents/bestpracticesontradebasedmoneylaundering.html" TargetMode="External"/><Relationship Id="rId46" Type="http://schemas.openxmlformats.org/officeDocument/2006/relationships/hyperlink" Target="https://www.fatf-gafi.org/en/publications/Methodsandtrends/Trade-basedmoneylaundering.html" TargetMode="External"/><Relationship Id="rId20" Type="http://schemas.openxmlformats.org/officeDocument/2006/relationships/hyperlink" Target="https://new.arinsa.org/mod/glossary/showentry.php?eid=8&amp;displayformat=dictionary" TargetMode="External"/><Relationship Id="rId41" Type="http://schemas.openxmlformats.org/officeDocument/2006/relationships/hyperlink" Target="https://www.fatf-gafi.org/en/publications.html" TargetMode="External"/><Relationship Id="rId54" Type="http://schemas.openxmlformats.org/officeDocument/2006/relationships/hyperlink" Target="https://www.fatf-gafi.org/en/publications/Fatfrecommendations/The40recommendationspublishedoctober2004.html" TargetMode="External"/><Relationship Id="rId1" Type="http://schemas.openxmlformats.org/officeDocument/2006/relationships/numbering" Target="numbering.xml"/><Relationship Id="rId6" Type="http://schemas.openxmlformats.org/officeDocument/2006/relationships/hyperlink" Target="https://www.eastnets.com/blog/why-its-important-to-know-about-trade-based-money-laundering" TargetMode="External"/><Relationship Id="rId15" Type="http://schemas.openxmlformats.org/officeDocument/2006/relationships/hyperlink" Target="https://home.treasury.gov/news/press-releases/sm581" TargetMode="External"/><Relationship Id="rId23" Type="http://schemas.openxmlformats.org/officeDocument/2006/relationships/hyperlink" Target="https://www.fatf-gafi.org/en/search-page.html" TargetMode="External"/><Relationship Id="rId28" Type="http://schemas.openxmlformats.org/officeDocument/2006/relationships/image" Target="media/image7.jpeg"/><Relationship Id="rId36" Type="http://schemas.openxmlformats.org/officeDocument/2006/relationships/hyperlink" Target="https://www.fatf-gafi.org/en/publications/Fatfgeneral/Remarks-presser-conf-tbml-report.html" TargetMode="External"/><Relationship Id="rId49" Type="http://schemas.openxmlformats.org/officeDocument/2006/relationships/hyperlink" Target="https://www.fatf-gafi.org/content/dam/fatf/documents/reports/Trade%20Based%20Money%20Laundering.pdf.coredownload.pdf" TargetMode="External"/><Relationship Id="rId57" Type="http://schemas.openxmlformats.org/officeDocument/2006/relationships/theme" Target="theme/theme1.xml"/><Relationship Id="rId10" Type="http://schemas.openxmlformats.org/officeDocument/2006/relationships/image" Target="media/image2.jpeg"/><Relationship Id="rId31" Type="http://schemas.openxmlformats.org/officeDocument/2006/relationships/hyperlink" Target="https://www.fatf-gafi.org/content/dam/fatf/content/Trade-Based-Money-Laundering-Trends-and-Developments.pdf" TargetMode="External"/><Relationship Id="rId44" Type="http://schemas.openxmlformats.org/officeDocument/2006/relationships/hyperlink" Target="https://www.fatf-gafi.org/content/dam/fatf/documents/reports/Trade_Based_ML_APGReport.pdf.coredownload.pdf" TargetMode="External"/><Relationship Id="rId52" Type="http://schemas.openxmlformats.org/officeDocument/2006/relationships/hyperlink" Target="https://www.fatf-gafi.org/en/publication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22</Pages>
  <Words>3978</Words>
  <Characters>22675</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SARS</Company>
  <LinksUpToDate>false</LinksUpToDate>
  <CharactersWithSpaces>26600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Dirk du Plooy</dc:creator>
  <cp:keywords/>
  <dc:description/>
  <cp:lastModifiedBy>Douglas Sloan</cp:lastModifiedBy>
  <cp:revision>2</cp:revision>
  <dcterms:created xsi:type="dcterms:W3CDTF">2024-11-27T13:58:00Z</dcterms:created>
  <dcterms:modified xsi:type="dcterms:W3CDTF">2024-11-27T13:58:00Z</dcterms:modified>
</cp:coreProperties>
</file>